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吕四港镇零星、维修工程管道修补器、PE管件采购项目（第三次）招标公告</w:t>
      </w:r>
    </w:p>
    <w:p w14:paraId="1A4A98A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default" w:ascii="Times New Roman" w:hAnsi="Times New Roman" w:eastAsia="方正小标宋_GBK" w:cs="Times New Roman"/>
          <w:b w:val="0"/>
          <w:bCs/>
          <w:spacing w:val="0"/>
          <w:sz w:val="36"/>
          <w:szCs w:val="36"/>
          <w:lang w:eastAsia="zh-CN"/>
        </w:rPr>
      </w:pPr>
    </w:p>
    <w:p w14:paraId="69152AE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spacing w:val="0"/>
          <w:sz w:val="28"/>
          <w:szCs w:val="28"/>
        </w:rPr>
      </w:pPr>
      <w:r>
        <w:rPr>
          <w:rFonts w:hint="eastAsia" w:asciiTheme="minorEastAsia" w:hAnsiTheme="minorEastAsia" w:eastAsiaTheme="minorEastAsia" w:cstheme="minorEastAsia"/>
          <w:color w:val="auto"/>
          <w:sz w:val="30"/>
          <w:szCs w:val="30"/>
          <w:lang w:val="en-US" w:eastAsia="zh-CN"/>
        </w:rPr>
        <w:t>启东市吕四自来水厂有限公司吕四港镇零星、维修工程管道修补器、PE管件采购项目招标即将实施，现就该项目进行招标采购。</w:t>
      </w:r>
    </w:p>
    <w:p w14:paraId="048372A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p w14:paraId="6D3E51D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contextualSpacing/>
        <w:jc w:val="center"/>
        <w:textAlignment w:val="auto"/>
        <w:rPr>
          <w:rFonts w:ascii="宋体" w:hAnsi="宋体" w:cs="宋体"/>
          <w:spacing w:val="0"/>
          <w:sz w:val="28"/>
          <w:szCs w:val="28"/>
        </w:rPr>
      </w:pPr>
      <w:r>
        <w:rPr>
          <w:rFonts w:hint="eastAsia" w:ascii="仿宋_GB2312" w:hAnsi="仿宋_GB2312" w:eastAsia="仿宋_GB2312" w:cs="仿宋_GB2312"/>
          <w:spacing w:val="0"/>
          <w:sz w:val="28"/>
          <w:szCs w:val="28"/>
        </w:rPr>
        <w:t>货物需求一览表</w:t>
      </w:r>
    </w:p>
    <w:tbl>
      <w:tblPr>
        <w:tblStyle w:val="5"/>
        <w:tblW w:w="5131" w:type="pct"/>
        <w:jc w:val="center"/>
        <w:tblLayout w:type="fixed"/>
        <w:tblCellMar>
          <w:top w:w="56" w:type="dxa"/>
          <w:left w:w="96" w:type="dxa"/>
          <w:bottom w:w="56" w:type="dxa"/>
          <w:right w:w="96" w:type="dxa"/>
        </w:tblCellMar>
      </w:tblPr>
      <w:tblGrid>
        <w:gridCol w:w="646"/>
        <w:gridCol w:w="2357"/>
        <w:gridCol w:w="1117"/>
        <w:gridCol w:w="681"/>
        <w:gridCol w:w="660"/>
        <w:gridCol w:w="1470"/>
        <w:gridCol w:w="1665"/>
        <w:gridCol w:w="1260"/>
      </w:tblGrid>
      <w:tr w14:paraId="37BFCEB1">
        <w:tblPrEx>
          <w:tblCellMar>
            <w:top w:w="56" w:type="dxa"/>
            <w:left w:w="96" w:type="dxa"/>
            <w:bottom w:w="56" w:type="dxa"/>
            <w:right w:w="96" w:type="dxa"/>
          </w:tblCellMar>
        </w:tblPrEx>
        <w:trPr>
          <w:trHeight w:val="636" w:hRule="atLeast"/>
          <w:jc w:val="center"/>
        </w:trPr>
        <w:tc>
          <w:tcPr>
            <w:tcW w:w="646" w:type="dxa"/>
            <w:tcBorders>
              <w:top w:val="single" w:color="000000" w:sz="4" w:space="0"/>
              <w:left w:val="single" w:color="000000" w:sz="4" w:space="0"/>
              <w:right w:val="single" w:color="000000" w:sz="4" w:space="0"/>
            </w:tcBorders>
            <w:shd w:val="clear" w:color="auto" w:fill="auto"/>
            <w:noWrap/>
            <w:vAlign w:val="center"/>
          </w:tcPr>
          <w:p w14:paraId="35799BC0">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2357" w:type="dxa"/>
            <w:tcBorders>
              <w:top w:val="single" w:color="000000" w:sz="4" w:space="0"/>
              <w:left w:val="single" w:color="000000" w:sz="4" w:space="0"/>
              <w:right w:val="single" w:color="000000" w:sz="4" w:space="0"/>
            </w:tcBorders>
            <w:shd w:val="clear" w:color="auto" w:fill="auto"/>
            <w:noWrap/>
            <w:vAlign w:val="center"/>
          </w:tcPr>
          <w:p w14:paraId="3A70D298">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物品名称</w:t>
            </w:r>
          </w:p>
        </w:tc>
        <w:tc>
          <w:tcPr>
            <w:tcW w:w="1117" w:type="dxa"/>
            <w:tcBorders>
              <w:top w:val="single" w:color="000000" w:sz="4" w:space="0"/>
              <w:left w:val="single" w:color="000000" w:sz="4" w:space="0"/>
              <w:right w:val="single" w:color="000000" w:sz="4" w:space="0"/>
            </w:tcBorders>
            <w:shd w:val="clear" w:color="auto" w:fill="auto"/>
            <w:noWrap/>
            <w:vAlign w:val="center"/>
          </w:tcPr>
          <w:p w14:paraId="3DEE78DA">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规格型号</w:t>
            </w:r>
          </w:p>
        </w:tc>
        <w:tc>
          <w:tcPr>
            <w:tcW w:w="681" w:type="dxa"/>
            <w:tcBorders>
              <w:top w:val="single" w:color="000000" w:sz="4" w:space="0"/>
              <w:left w:val="single" w:color="000000" w:sz="4" w:space="0"/>
              <w:right w:val="single" w:color="000000" w:sz="4" w:space="0"/>
            </w:tcBorders>
            <w:shd w:val="clear" w:color="auto" w:fill="auto"/>
            <w:noWrap/>
            <w:vAlign w:val="center"/>
          </w:tcPr>
          <w:p w14:paraId="59CD6DE3">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预估数量</w:t>
            </w:r>
          </w:p>
        </w:tc>
        <w:tc>
          <w:tcPr>
            <w:tcW w:w="660" w:type="dxa"/>
            <w:tcBorders>
              <w:top w:val="single" w:color="000000" w:sz="4" w:space="0"/>
              <w:left w:val="single" w:color="000000" w:sz="4" w:space="0"/>
              <w:right w:val="single" w:color="000000" w:sz="4" w:space="0"/>
            </w:tcBorders>
            <w:shd w:val="clear" w:color="auto" w:fill="auto"/>
            <w:noWrap/>
            <w:vAlign w:val="center"/>
          </w:tcPr>
          <w:p w14:paraId="61B9B9A7">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单位</w:t>
            </w:r>
          </w:p>
        </w:tc>
        <w:tc>
          <w:tcPr>
            <w:tcW w:w="1470" w:type="dxa"/>
            <w:tcBorders>
              <w:top w:val="single" w:color="000000" w:sz="4" w:space="0"/>
              <w:left w:val="single" w:color="000000" w:sz="4" w:space="0"/>
              <w:right w:val="single" w:color="000000" w:sz="4" w:space="0"/>
            </w:tcBorders>
            <w:shd w:val="clear" w:color="auto" w:fill="auto"/>
            <w:noWrap/>
            <w:vAlign w:val="center"/>
          </w:tcPr>
          <w:p w14:paraId="0651EC4C">
            <w:pPr>
              <w:keepNext w:val="0"/>
              <w:keepLines w:val="0"/>
              <w:widowControl/>
              <w:suppressLineNumbers w:val="0"/>
              <w:jc w:val="center"/>
              <w:textAlignment w:val="center"/>
              <w:rPr>
                <w:rFonts w:hint="eastAsia"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665" w:type="dxa"/>
            <w:tcBorders>
              <w:top w:val="single" w:color="000000" w:sz="4" w:space="0"/>
              <w:left w:val="single" w:color="000000" w:sz="4" w:space="0"/>
              <w:right w:val="single" w:color="000000" w:sz="4" w:space="0"/>
            </w:tcBorders>
            <w:shd w:val="clear" w:color="auto" w:fill="auto"/>
            <w:noWrap/>
            <w:vAlign w:val="center"/>
          </w:tcPr>
          <w:p w14:paraId="30C47131">
            <w:pPr>
              <w:keepNext w:val="0"/>
              <w:keepLines w:val="0"/>
              <w:widowControl/>
              <w:suppressLineNumbers w:val="0"/>
              <w:jc w:val="center"/>
              <w:textAlignment w:val="center"/>
              <w:rPr>
                <w:rFonts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合计（元）</w:t>
            </w:r>
          </w:p>
        </w:tc>
        <w:tc>
          <w:tcPr>
            <w:tcW w:w="126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936B968">
            <w:pPr>
              <w:keepNext w:val="0"/>
              <w:keepLines w:val="0"/>
              <w:widowControl/>
              <w:suppressLineNumbers w:val="0"/>
              <w:jc w:val="center"/>
              <w:textAlignment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备注</w:t>
            </w:r>
          </w:p>
        </w:tc>
      </w:tr>
      <w:tr w14:paraId="1A8E6D33">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94F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460B">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89E">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ED3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8DA6">
            <w:pPr>
              <w:jc w:val="center"/>
              <w:rPr>
                <w:rFonts w:hint="eastAsia" w:ascii="宋体" w:hAnsi="宋体" w:eastAsia="宋体" w:cs="宋体"/>
                <w:kern w:val="0"/>
                <w:sz w:val="21"/>
                <w:szCs w:val="21"/>
                <w:lang w:val="en-US" w:eastAsia="zh-CN"/>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A74F">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302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CC1FF">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15100</w:t>
            </w:r>
          </w:p>
        </w:tc>
        <w:tc>
          <w:tcPr>
            <w:tcW w:w="1260" w:type="dxa"/>
            <w:vMerge w:val="restart"/>
            <w:tcBorders>
              <w:top w:val="single" w:color="000000" w:sz="4" w:space="0"/>
              <w:left w:val="single" w:color="000000" w:sz="4" w:space="0"/>
              <w:right w:val="single" w:color="auto" w:sz="4" w:space="0"/>
            </w:tcBorders>
            <w:shd w:val="clear" w:color="auto" w:fill="auto"/>
            <w:noWrap/>
            <w:vAlign w:val="center"/>
          </w:tcPr>
          <w:p w14:paraId="46C50329">
            <w:pPr>
              <w:jc w:val="center"/>
              <w:rPr>
                <w:rFonts w:hint="eastAsia" w:ascii="宋体" w:hAnsi="宋体" w:eastAsia="宋体" w:cs="宋体"/>
                <w:kern w:val="0"/>
                <w:sz w:val="21"/>
                <w:szCs w:val="21"/>
              </w:rPr>
            </w:pPr>
            <w:r>
              <w:rPr>
                <w:rFonts w:hint="eastAsia" w:ascii="仿宋" w:hAnsi="仿宋" w:eastAsia="仿宋" w:cs="仿宋"/>
                <w:i w:val="0"/>
                <w:iCs w:val="0"/>
                <w:color w:val="000000"/>
                <w:kern w:val="0"/>
                <w:sz w:val="24"/>
                <w:szCs w:val="24"/>
                <w:u w:val="none"/>
                <w:lang w:val="en-US" w:eastAsia="zh-CN" w:bidi="ar"/>
              </w:rPr>
              <w:t>含13%增值税、含运费、含卸货费等全部费用</w:t>
            </w:r>
          </w:p>
        </w:tc>
      </w:tr>
      <w:tr w14:paraId="5D03DA43">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BF00">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B65C">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CB7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80A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A5D4">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12BE">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370.33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7D3A8D">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7406.6</w:t>
            </w:r>
          </w:p>
        </w:tc>
        <w:tc>
          <w:tcPr>
            <w:tcW w:w="1260" w:type="dxa"/>
            <w:vMerge w:val="continue"/>
            <w:tcBorders>
              <w:left w:val="single" w:color="000000" w:sz="4" w:space="0"/>
              <w:right w:val="single" w:color="auto" w:sz="4" w:space="0"/>
            </w:tcBorders>
            <w:shd w:val="clear" w:color="auto" w:fill="auto"/>
            <w:noWrap/>
            <w:vAlign w:val="center"/>
          </w:tcPr>
          <w:p w14:paraId="780FFF19">
            <w:pPr>
              <w:jc w:val="center"/>
              <w:rPr>
                <w:rFonts w:hint="eastAsia" w:ascii="宋体" w:hAnsi="宋体" w:eastAsia="宋体" w:cs="宋体"/>
                <w:kern w:val="0"/>
                <w:sz w:val="21"/>
                <w:szCs w:val="21"/>
              </w:rPr>
            </w:pPr>
          </w:p>
        </w:tc>
      </w:tr>
      <w:tr w14:paraId="588F954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D3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4E2A">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13A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9A1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8994">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4DDE">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6D23E8">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19760</w:t>
            </w:r>
          </w:p>
        </w:tc>
        <w:tc>
          <w:tcPr>
            <w:tcW w:w="1260" w:type="dxa"/>
            <w:vMerge w:val="continue"/>
            <w:tcBorders>
              <w:left w:val="single" w:color="000000" w:sz="4" w:space="0"/>
              <w:right w:val="single" w:color="auto" w:sz="4" w:space="0"/>
            </w:tcBorders>
            <w:shd w:val="clear" w:color="auto" w:fill="auto"/>
            <w:noWrap/>
            <w:vAlign w:val="center"/>
          </w:tcPr>
          <w:p w14:paraId="3FC790B6">
            <w:pPr>
              <w:jc w:val="center"/>
              <w:rPr>
                <w:rFonts w:hint="eastAsia" w:ascii="宋体" w:hAnsi="宋体" w:eastAsia="宋体" w:cs="宋体"/>
                <w:kern w:val="0"/>
                <w:sz w:val="21"/>
                <w:szCs w:val="21"/>
              </w:rPr>
            </w:pPr>
          </w:p>
        </w:tc>
      </w:tr>
      <w:tr w14:paraId="05636B6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E33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649B">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2CC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B152">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8151">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0CC8">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284.33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2FBC91">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11373.2</w:t>
            </w:r>
          </w:p>
        </w:tc>
        <w:tc>
          <w:tcPr>
            <w:tcW w:w="1260" w:type="dxa"/>
            <w:vMerge w:val="continue"/>
            <w:tcBorders>
              <w:left w:val="single" w:color="000000" w:sz="4" w:space="0"/>
              <w:right w:val="single" w:color="auto" w:sz="4" w:space="0"/>
            </w:tcBorders>
            <w:shd w:val="clear" w:color="auto" w:fill="auto"/>
            <w:noWrap/>
            <w:vAlign w:val="center"/>
          </w:tcPr>
          <w:p w14:paraId="47E919B4">
            <w:pPr>
              <w:jc w:val="center"/>
              <w:rPr>
                <w:rFonts w:hint="eastAsia" w:ascii="宋体" w:hAnsi="宋体" w:eastAsia="宋体" w:cs="宋体"/>
                <w:kern w:val="0"/>
                <w:sz w:val="21"/>
                <w:szCs w:val="21"/>
              </w:rPr>
            </w:pPr>
          </w:p>
        </w:tc>
      </w:tr>
      <w:tr w14:paraId="005C2975">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728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73150">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170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10C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E626">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C785">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225.67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1ED643">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18053.6</w:t>
            </w:r>
          </w:p>
        </w:tc>
        <w:tc>
          <w:tcPr>
            <w:tcW w:w="1260" w:type="dxa"/>
            <w:vMerge w:val="continue"/>
            <w:tcBorders>
              <w:left w:val="single" w:color="000000" w:sz="4" w:space="0"/>
              <w:right w:val="single" w:color="auto" w:sz="4" w:space="0"/>
            </w:tcBorders>
            <w:shd w:val="clear" w:color="auto" w:fill="auto"/>
            <w:noWrap/>
            <w:vAlign w:val="center"/>
          </w:tcPr>
          <w:p w14:paraId="502F4A45">
            <w:pPr>
              <w:jc w:val="center"/>
              <w:rPr>
                <w:rFonts w:hint="eastAsia" w:ascii="宋体" w:hAnsi="宋体" w:eastAsia="宋体" w:cs="宋体"/>
                <w:kern w:val="0"/>
                <w:sz w:val="21"/>
                <w:szCs w:val="21"/>
              </w:rPr>
            </w:pPr>
          </w:p>
        </w:tc>
      </w:tr>
      <w:tr w14:paraId="0C779620">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EE3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66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077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203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1B3F">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C46B">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263.67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ADC764">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7910.1</w:t>
            </w:r>
          </w:p>
        </w:tc>
        <w:tc>
          <w:tcPr>
            <w:tcW w:w="1260" w:type="dxa"/>
            <w:vMerge w:val="continue"/>
            <w:tcBorders>
              <w:left w:val="single" w:color="000000" w:sz="4" w:space="0"/>
              <w:right w:val="single" w:color="auto" w:sz="4" w:space="0"/>
            </w:tcBorders>
            <w:shd w:val="clear" w:color="auto" w:fill="auto"/>
            <w:noWrap/>
            <w:vAlign w:val="center"/>
          </w:tcPr>
          <w:p w14:paraId="5B441735">
            <w:pPr>
              <w:jc w:val="center"/>
              <w:rPr>
                <w:rFonts w:hint="eastAsia" w:ascii="宋体" w:hAnsi="宋体" w:eastAsia="宋体" w:cs="宋体"/>
                <w:kern w:val="0"/>
                <w:sz w:val="21"/>
                <w:szCs w:val="21"/>
              </w:rPr>
            </w:pPr>
          </w:p>
        </w:tc>
      </w:tr>
      <w:tr w14:paraId="5E663632">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A5E6">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0A0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767E">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250*300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FC42">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7836">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6C09">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473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0FB930">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4730</w:t>
            </w:r>
          </w:p>
        </w:tc>
        <w:tc>
          <w:tcPr>
            <w:tcW w:w="1260" w:type="dxa"/>
            <w:vMerge w:val="continue"/>
            <w:tcBorders>
              <w:left w:val="single" w:color="000000" w:sz="4" w:space="0"/>
              <w:right w:val="single" w:color="auto" w:sz="4" w:space="0"/>
            </w:tcBorders>
            <w:shd w:val="clear" w:color="auto" w:fill="auto"/>
            <w:noWrap/>
            <w:vAlign w:val="center"/>
          </w:tcPr>
          <w:p w14:paraId="0359E1D6">
            <w:pPr>
              <w:jc w:val="center"/>
              <w:rPr>
                <w:rFonts w:hint="eastAsia" w:ascii="宋体" w:hAnsi="宋体" w:eastAsia="宋体" w:cs="宋体"/>
                <w:kern w:val="0"/>
                <w:sz w:val="21"/>
                <w:szCs w:val="21"/>
              </w:rPr>
            </w:pPr>
          </w:p>
        </w:tc>
      </w:tr>
      <w:tr w14:paraId="0A12E774">
        <w:tblPrEx>
          <w:tblCellMar>
            <w:top w:w="56" w:type="dxa"/>
            <w:left w:w="96" w:type="dxa"/>
            <w:bottom w:w="56" w:type="dxa"/>
            <w:right w:w="96" w:type="dxa"/>
          </w:tblCellMar>
        </w:tblPrEx>
        <w:trPr>
          <w:trHeight w:val="0" w:hRule="atLeast"/>
          <w:jc w:val="center"/>
        </w:trPr>
        <w:tc>
          <w:tcPr>
            <w:tcW w:w="6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C2A9">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183D">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4FC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300*500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261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54F2">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49AF">
            <w:pPr>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681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571713">
            <w:pPr>
              <w:keepNext w:val="0"/>
              <w:keepLines w:val="0"/>
              <w:widowControl/>
              <w:suppressLineNumbers w:val="0"/>
              <w:jc w:val="center"/>
              <w:textAlignment w:val="top"/>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6810</w:t>
            </w:r>
          </w:p>
        </w:tc>
        <w:tc>
          <w:tcPr>
            <w:tcW w:w="1260" w:type="dxa"/>
            <w:vMerge w:val="continue"/>
            <w:tcBorders>
              <w:left w:val="single" w:color="000000" w:sz="4" w:space="0"/>
              <w:bottom w:val="single" w:color="000000" w:sz="4" w:space="0"/>
              <w:right w:val="single" w:color="auto" w:sz="4" w:space="0"/>
            </w:tcBorders>
            <w:shd w:val="clear" w:color="auto" w:fill="auto"/>
            <w:noWrap/>
            <w:vAlign w:val="center"/>
          </w:tcPr>
          <w:p w14:paraId="60B4EC8A">
            <w:pPr>
              <w:jc w:val="center"/>
              <w:rPr>
                <w:rFonts w:hint="eastAsia" w:ascii="宋体" w:hAnsi="宋体" w:eastAsia="宋体" w:cs="宋体"/>
                <w:kern w:val="0"/>
                <w:sz w:val="21"/>
                <w:szCs w:val="21"/>
              </w:rPr>
            </w:pPr>
          </w:p>
        </w:tc>
      </w:tr>
      <w:tr w14:paraId="596B48D2">
        <w:tblPrEx>
          <w:tblCellMar>
            <w:top w:w="56" w:type="dxa"/>
            <w:left w:w="96" w:type="dxa"/>
            <w:bottom w:w="56" w:type="dxa"/>
            <w:right w:w="96" w:type="dxa"/>
          </w:tblCellMar>
        </w:tblPrEx>
        <w:trPr>
          <w:trHeight w:val="0" w:hRule="atLeast"/>
          <w:jc w:val="center"/>
        </w:trPr>
        <w:tc>
          <w:tcPr>
            <w:tcW w:w="30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9179">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总计（含税）</w:t>
            </w:r>
          </w:p>
        </w:tc>
        <w:tc>
          <w:tcPr>
            <w:tcW w:w="685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340F">
            <w:pPr>
              <w:keepNext w:val="0"/>
              <w:keepLines w:val="0"/>
              <w:widowControl/>
              <w:suppressLineNumbers w:val="0"/>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大写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val="en-US" w:eastAsia="zh-CN"/>
              </w:rPr>
              <w:t>玖万壹仟壹佰肆拾叁元整</w:t>
            </w:r>
          </w:p>
          <w:p w14:paraId="4B149A4A">
            <w:pPr>
              <w:keepNext w:val="0"/>
              <w:keepLines w:val="0"/>
              <w:widowControl/>
              <w:suppressLineNumbers w:val="0"/>
              <w:jc w:val="left"/>
              <w:textAlignment w:val="center"/>
              <w:rPr>
                <w:rFonts w:hint="default" w:ascii="宋体" w:hAnsi="宋体" w:cs="宋体"/>
                <w:kern w:val="0"/>
                <w:sz w:val="21"/>
                <w:szCs w:val="21"/>
                <w:lang w:val="en-US"/>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小写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val="en-US" w:eastAsia="zh-CN"/>
              </w:rPr>
              <w:t>￥91143.00元</w:t>
            </w:r>
          </w:p>
        </w:tc>
      </w:tr>
    </w:tbl>
    <w:p w14:paraId="7374550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152FA12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1.质量要求：投标人须提供符合采购需求、符合国家质量检测标准的原装合格产品。</w:t>
      </w:r>
    </w:p>
    <w:p w14:paraId="5C56EBB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2.供货周期要求：1年。</w:t>
      </w:r>
    </w:p>
    <w:p w14:paraId="5A37BAF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上限15%)，逾期超过15天或在供货期内逾期交货次数累计超过2次的，采购方有权终止本合同，并没收全额履约保证金，并有权要求供货方承担该笔订单金额的30%作为违约金。</w:t>
      </w:r>
    </w:p>
    <w:p w14:paraId="1019BA7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合同期限:自合同签订之日起壹年或采购金额满合同价后合同终止。</w:t>
      </w:r>
    </w:p>
    <w:p w14:paraId="72669BD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3.交货与服务地点：运输并卸货至采购人指定地点，并指导安装。</w:t>
      </w:r>
    </w:p>
    <w:p w14:paraId="30B7F58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4.质保、售后服务要求：供应商报价时须承诺所供货物的免费质保期为1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我司的采购项目。</w:t>
      </w:r>
    </w:p>
    <w:p w14:paraId="29C0011E">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u w:val="single"/>
          <w:lang w:val="en-US" w:eastAsia="zh-CN"/>
        </w:rPr>
      </w:pPr>
      <w:r>
        <w:rPr>
          <w:rFonts w:hint="eastAsia" w:asciiTheme="minorEastAsia" w:hAnsiTheme="minorEastAsia" w:eastAsiaTheme="minorEastAsia" w:cstheme="minorEastAsia"/>
          <w:b/>
          <w:bCs/>
          <w:color w:val="auto"/>
          <w:sz w:val="30"/>
          <w:szCs w:val="30"/>
          <w:lang w:val="en-US" w:eastAsia="zh-CN"/>
        </w:rPr>
        <w:t>三、开标时间、地点：</w:t>
      </w:r>
      <w:r>
        <w:rPr>
          <w:rFonts w:hint="eastAsia" w:asciiTheme="minorEastAsia" w:hAnsiTheme="minorEastAsia" w:eastAsiaTheme="minorEastAsia" w:cstheme="minorEastAsia"/>
          <w:b/>
          <w:bCs/>
          <w:color w:val="auto"/>
          <w:sz w:val="30"/>
          <w:szCs w:val="30"/>
          <w:u w:val="single"/>
          <w:lang w:val="en-US" w:eastAsia="zh-CN"/>
        </w:rPr>
        <w:t>请于2025年12月5日下午15:10时前携报价资料在启东市汇龙镇金沙江路672号启东市城投集团二楼开标室参与投标报价。</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四、投标资料要求：</w:t>
      </w:r>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提供近三年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五、报价要求：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人民币91143.00元（大写：玖万壹仟壹佰肆拾叁元整）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56A52D3">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六、报价费用说明：</w:t>
      </w:r>
    </w:p>
    <w:p w14:paraId="046B566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（1）本项目采取固定单价报价，各报价人需考虑投标时每项的分项综合单价报价与分项最高限价相比的下浮率必须一致。</w:t>
      </w:r>
    </w:p>
    <w:p w14:paraId="7B2EF053">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D2748B6">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报价中含包含但不限于采购等所发生的各种费用，即材料费、材料运输费、运输保险费、装卸费、售后服务费、不可预见费、风险费、13%税金（增值税专用发票）、质保费等其它一切可能发生的相关费用。运输及装卸过程中的材料损耗由供应商承担。</w:t>
      </w:r>
    </w:p>
    <w:p w14:paraId="011BFBFB">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黑体" w:hAnsi="黑体" w:eastAsia="黑体" w:cs="黑体"/>
          <w:b w:val="0"/>
          <w:bCs w:val="0"/>
          <w:color w:val="auto"/>
          <w:spacing w:val="0"/>
          <w:kern w:val="0"/>
          <w:sz w:val="28"/>
          <w:szCs w:val="28"/>
          <w:highlight w:val="none"/>
          <w:shd w:val="clear" w:color="auto" w:fill="FFFFFF"/>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67AB3661">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七、履约保证金交纳要求：</w:t>
      </w:r>
      <w:r>
        <w:rPr>
          <w:rFonts w:hint="eastAsia" w:asciiTheme="minorEastAsia" w:hAnsiTheme="minorEastAsia" w:eastAsiaTheme="minorEastAsia" w:cstheme="minorEastAsia"/>
          <w:color w:val="auto"/>
          <w:sz w:val="30"/>
          <w:szCs w:val="30"/>
          <w:lang w:val="en-US" w:eastAsia="zh-CN"/>
        </w:rPr>
        <w:t>成交金额的10%。成交供应商须在签订合同前向招标人足额提交履约保证金，否则招标人可以取消其中标资格。</w:t>
      </w:r>
    </w:p>
    <w:p w14:paraId="5C8D262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提交形式：数字人民币或银行汇票或银行转账或履约保函。如履约保证金为保函的，其期限应与实际供货周期一致，因供货商原因导致供货期延长的，继续提供履约担保所增加的费用由供货商承担；非因供货商原因导致供货周期延长的，继续提供履约担保所增加的费用由发包人承担；如发生保函无效或到期未提前续保等不能赔付情形的，招标人有权要求中标人现金转账或在应付款中直接扣除保函金额并转为履约保证金。</w:t>
      </w:r>
    </w:p>
    <w:p w14:paraId="3E1299A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4F3D2547">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w:t>
      </w:r>
    </w:p>
    <w:p w14:paraId="17C3E079">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6B337D5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2F17BB4">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7DDC739E">
      <w:pPr>
        <w:keepNext w:val="0"/>
        <w:keepLines w:val="0"/>
        <w:pageBreakBefore w:val="0"/>
        <w:widowControl w:val="0"/>
        <w:kinsoku/>
        <w:wordWrap/>
        <w:overflowPunct/>
        <w:topLinePunct w:val="0"/>
        <w:autoSpaceDE/>
        <w:autoSpaceDN/>
        <w:bidi w:val="0"/>
        <w:adjustRightInd/>
        <w:snapToGrid w:val="0"/>
        <w:spacing w:line="400" w:lineRule="exact"/>
        <w:ind w:right="0" w:rightChars="0" w:firstLine="602"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八、成交原则：</w:t>
      </w:r>
      <w:r>
        <w:rPr>
          <w:rFonts w:hint="eastAsia" w:asciiTheme="minorEastAsia" w:hAnsiTheme="minorEastAsia" w:eastAsiaTheme="minorEastAsia" w:cstheme="minorEastAsia"/>
          <w:color w:val="auto"/>
          <w:sz w:val="30"/>
          <w:szCs w:val="30"/>
          <w:lang w:val="en-US" w:eastAsia="zh-CN"/>
        </w:rPr>
        <w:t>符合采购需求且总报价最低者成交。若报价最低者有相同时，则通过抽签方式确定成交供应商。</w:t>
      </w:r>
    </w:p>
    <w:p w14:paraId="33C560B9">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zh-CN" w:eastAsia="zh-CN"/>
        </w:rPr>
        <w:t>当成交供应商放弃</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、因不可抗力不能履行合同、不按照</w:t>
      </w:r>
      <w:r>
        <w:rPr>
          <w:rFonts w:hint="eastAsia" w:asciiTheme="minorEastAsia" w:hAnsiTheme="minorEastAsia" w:eastAsiaTheme="minorEastAsia" w:cstheme="minorEastAsia"/>
          <w:color w:val="auto"/>
          <w:sz w:val="30"/>
          <w:szCs w:val="30"/>
          <w:lang w:val="en-US" w:eastAsia="zh-CN"/>
        </w:rPr>
        <w:t>询价</w:t>
      </w:r>
      <w:r>
        <w:rPr>
          <w:rFonts w:hint="eastAsia" w:asciiTheme="minorEastAsia" w:hAnsiTheme="minorEastAsia" w:eastAsiaTheme="minorEastAsia" w:cstheme="minorEastAsia"/>
          <w:color w:val="auto"/>
          <w:sz w:val="30"/>
          <w:szCs w:val="30"/>
          <w:lang w:val="zh-CN" w:eastAsia="zh-CN"/>
        </w:rPr>
        <w:t>文件要求提交履约保证金，或者被查实存在影响</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结果的违法行为等情形，不符合</w:t>
      </w:r>
      <w:r>
        <w:rPr>
          <w:rFonts w:hint="eastAsia" w:asciiTheme="minorEastAsia" w:hAnsiTheme="minorEastAsia" w:eastAsiaTheme="minorEastAsia" w:cstheme="minorEastAsia"/>
          <w:color w:val="auto"/>
          <w:sz w:val="30"/>
          <w:szCs w:val="30"/>
          <w:lang w:val="en-US" w:eastAsia="zh-CN"/>
        </w:rPr>
        <w:t>成交</w:t>
      </w:r>
      <w:r>
        <w:rPr>
          <w:rFonts w:hint="eastAsia" w:asciiTheme="minorEastAsia" w:hAnsiTheme="minorEastAsia" w:eastAsiaTheme="minorEastAsia" w:cstheme="minorEastAsia"/>
          <w:color w:val="auto"/>
          <w:sz w:val="30"/>
          <w:szCs w:val="30"/>
          <w:lang w:val="zh-CN" w:eastAsia="zh-CN"/>
        </w:rPr>
        <w:t>条件的，采购人可依法重新招标。</w:t>
      </w:r>
    </w:p>
    <w:p w14:paraId="565D3872">
      <w:pPr>
        <w:keepNext w:val="0"/>
        <w:keepLines w:val="0"/>
        <w:pageBreakBefore w:val="0"/>
        <w:widowControl/>
        <w:kinsoku/>
        <w:wordWrap/>
        <w:overflowPunct/>
        <w:topLinePunct w:val="0"/>
        <w:autoSpaceDE/>
        <w:autoSpaceDN/>
        <w:bidi w:val="0"/>
        <w:adjustRightInd/>
        <w:spacing w:line="400" w:lineRule="exact"/>
        <w:ind w:left="0" w:leftChars="0"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九、付款方式：</w:t>
      </w:r>
    </w:p>
    <w:p w14:paraId="3228AD9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zh-CN" w:eastAsia="zh-CN"/>
        </w:rPr>
      </w:pPr>
      <w:r>
        <w:rPr>
          <w:rFonts w:hint="eastAsia" w:asciiTheme="minorEastAsia" w:hAnsiTheme="minorEastAsia" w:eastAsiaTheme="minorEastAsia" w:cstheme="minorEastAsia"/>
          <w:color w:val="auto"/>
          <w:sz w:val="30"/>
          <w:szCs w:val="30"/>
          <w:lang w:val="zh-CN" w:eastAsia="zh-CN"/>
        </w:rPr>
        <w:t>1</w:t>
      </w:r>
      <w:r>
        <w:rPr>
          <w:rFonts w:hint="eastAsia" w:asciiTheme="minorEastAsia" w:hAnsiTheme="minorEastAsia" w:eastAsiaTheme="minorEastAsia" w:cstheme="minorEastAsia"/>
          <w:color w:val="auto"/>
          <w:sz w:val="30"/>
          <w:szCs w:val="30"/>
          <w:lang w:val="en-US" w:eastAsia="zh-CN"/>
        </w:rPr>
        <w:t>.</w:t>
      </w:r>
      <w:r>
        <w:rPr>
          <w:rFonts w:hint="eastAsia" w:asciiTheme="minorEastAsia" w:hAnsiTheme="minorEastAsia" w:eastAsiaTheme="minorEastAsia" w:cstheme="minorEastAsia"/>
          <w:color w:val="auto"/>
          <w:sz w:val="30"/>
          <w:szCs w:val="30"/>
          <w:lang w:val="zh-CN" w:eastAsia="zh-CN"/>
        </w:rPr>
        <w:t>采购资金的支付方式：银行转账，由采购人按相关财务支付规定办理支付手续。</w:t>
      </w:r>
    </w:p>
    <w:p w14:paraId="5F115A8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zh-CN" w:eastAsia="zh-CN"/>
        </w:rPr>
      </w:pPr>
      <w:r>
        <w:rPr>
          <w:rFonts w:hint="eastAsia" w:asciiTheme="minorEastAsia" w:hAnsiTheme="minorEastAsia" w:eastAsiaTheme="minorEastAsia" w:cstheme="minorEastAsia"/>
          <w:color w:val="auto"/>
          <w:sz w:val="30"/>
          <w:szCs w:val="30"/>
          <w:lang w:val="zh-CN" w:eastAsia="zh-CN"/>
        </w:rPr>
        <w:t>2</w:t>
      </w:r>
      <w:r>
        <w:rPr>
          <w:rFonts w:hint="eastAsia" w:asciiTheme="minorEastAsia" w:hAnsiTheme="minorEastAsia" w:eastAsiaTheme="minorEastAsia" w:cstheme="minorEastAsia"/>
          <w:color w:val="auto"/>
          <w:sz w:val="30"/>
          <w:szCs w:val="30"/>
          <w:lang w:val="en-US" w:eastAsia="zh-CN"/>
        </w:rPr>
        <w:t>.</w:t>
      </w:r>
      <w:r>
        <w:rPr>
          <w:rFonts w:hint="eastAsia" w:asciiTheme="minorEastAsia" w:hAnsiTheme="minorEastAsia" w:eastAsiaTheme="minorEastAsia" w:cstheme="minorEastAsia"/>
          <w:color w:val="auto"/>
          <w:sz w:val="30"/>
          <w:szCs w:val="30"/>
          <w:lang w:val="zh-CN" w:eastAsia="zh-CN"/>
        </w:rPr>
        <w:t>采购资金的支付时间、条件：</w:t>
      </w:r>
    </w:p>
    <w:p w14:paraId="0093C4F0">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zh-CN" w:eastAsia="zh-CN"/>
        </w:rPr>
        <w:t>本次采购量为预估量，最终结算按每次实际采购量计，每次供货完毕并经验收合格后，收到</w:t>
      </w:r>
      <w:r>
        <w:rPr>
          <w:rFonts w:hint="eastAsia" w:asciiTheme="minorEastAsia" w:hAnsiTheme="minorEastAsia" w:eastAsiaTheme="minorEastAsia" w:cstheme="minorEastAsia"/>
          <w:color w:val="auto"/>
          <w:sz w:val="30"/>
          <w:szCs w:val="30"/>
          <w:lang w:val="en-US" w:eastAsia="zh-CN"/>
        </w:rPr>
        <w:t>成交供应商</w:t>
      </w:r>
      <w:r>
        <w:rPr>
          <w:rFonts w:hint="eastAsia" w:asciiTheme="minorEastAsia" w:hAnsiTheme="minorEastAsia" w:eastAsiaTheme="minorEastAsia" w:cstheme="minorEastAsia"/>
          <w:color w:val="auto"/>
          <w:sz w:val="30"/>
          <w:szCs w:val="30"/>
          <w:lang w:val="zh-CN" w:eastAsia="zh-CN"/>
        </w:rPr>
        <w:t>相应的增值税专用发票后30天内支付该批订单的</w:t>
      </w:r>
      <w:r>
        <w:rPr>
          <w:rFonts w:hint="eastAsia" w:asciiTheme="minorEastAsia" w:hAnsiTheme="minorEastAsia" w:eastAsiaTheme="minorEastAsia" w:cstheme="minorEastAsia"/>
          <w:color w:val="auto"/>
          <w:sz w:val="30"/>
          <w:szCs w:val="30"/>
          <w:lang w:val="en-US" w:eastAsia="zh-CN"/>
        </w:rPr>
        <w:t>9</w:t>
      </w:r>
      <w:r>
        <w:rPr>
          <w:rFonts w:hint="eastAsia" w:asciiTheme="minorEastAsia" w:hAnsiTheme="minorEastAsia" w:eastAsiaTheme="minorEastAsia" w:cstheme="minorEastAsia"/>
          <w:color w:val="auto"/>
          <w:sz w:val="30"/>
          <w:szCs w:val="30"/>
          <w:lang w:val="zh-CN" w:eastAsia="zh-CN"/>
        </w:rPr>
        <w:t>0%货款，</w:t>
      </w:r>
      <w:r>
        <w:rPr>
          <w:rFonts w:hint="default" w:asciiTheme="minorEastAsia" w:hAnsiTheme="minorEastAsia" w:eastAsiaTheme="minorEastAsia" w:cstheme="minorEastAsia"/>
          <w:color w:val="auto"/>
          <w:sz w:val="30"/>
          <w:szCs w:val="30"/>
          <w:lang w:val="zh-CN" w:eastAsia="zh-CN"/>
        </w:rPr>
        <w:t>合同期内所供货物的余款于质保期结束后收到</w:t>
      </w:r>
      <w:r>
        <w:rPr>
          <w:rFonts w:hint="default" w:asciiTheme="minorEastAsia" w:hAnsiTheme="minorEastAsia" w:eastAsiaTheme="minorEastAsia" w:cstheme="minorEastAsia"/>
          <w:color w:val="auto"/>
          <w:sz w:val="30"/>
          <w:szCs w:val="30"/>
          <w:lang w:val="en-US" w:eastAsia="zh-CN"/>
        </w:rPr>
        <w:t>成交供应商</w:t>
      </w:r>
      <w:r>
        <w:rPr>
          <w:rFonts w:hint="default" w:asciiTheme="minorEastAsia" w:hAnsiTheme="minorEastAsia" w:eastAsiaTheme="minorEastAsia" w:cstheme="minorEastAsia"/>
          <w:color w:val="auto"/>
          <w:sz w:val="30"/>
          <w:szCs w:val="30"/>
          <w:lang w:val="zh-CN" w:eastAsia="zh-CN"/>
        </w:rPr>
        <w:t>相应的增值税专用发票后</w:t>
      </w:r>
      <w:r>
        <w:rPr>
          <w:rFonts w:hint="default" w:asciiTheme="minorEastAsia" w:hAnsiTheme="minorEastAsia" w:eastAsiaTheme="minorEastAsia" w:cstheme="minorEastAsia"/>
          <w:color w:val="auto"/>
          <w:sz w:val="30"/>
          <w:szCs w:val="30"/>
          <w:lang w:val="en-US" w:eastAsia="zh-CN"/>
        </w:rPr>
        <w:t>一次性付清</w:t>
      </w:r>
      <w:r>
        <w:rPr>
          <w:rFonts w:hint="eastAsia" w:asciiTheme="minorEastAsia" w:hAnsiTheme="minorEastAsia" w:eastAsiaTheme="minorEastAsia" w:cstheme="minorEastAsia"/>
          <w:color w:val="auto"/>
          <w:sz w:val="30"/>
          <w:szCs w:val="30"/>
          <w:lang w:val="en-US" w:eastAsia="zh-CN"/>
        </w:rPr>
        <w:t>。</w:t>
      </w:r>
    </w:p>
    <w:p w14:paraId="6E2DB548">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1209AC8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F45EF5D">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841A252">
      <w:pPr>
        <w:keepNext w:val="0"/>
        <w:pageBreakBefore w:val="0"/>
        <w:kinsoku/>
        <w:wordWrap/>
        <w:overflowPunct/>
        <w:topLinePunct w:val="0"/>
        <w:autoSpaceDE/>
        <w:autoSpaceDN/>
        <w:bidi w:val="0"/>
        <w:spacing w:line="500" w:lineRule="exact"/>
        <w:rPr>
          <w:rFonts w:hint="eastAsia" w:ascii="宋体" w:hAnsi="宋体" w:eastAsia="宋体" w:cs="宋体"/>
          <w:bCs/>
          <w:sz w:val="28"/>
          <w:szCs w:val="28"/>
        </w:rPr>
      </w:pPr>
      <w:r>
        <w:rPr>
          <w:rFonts w:hint="eastAsia" w:ascii="宋体" w:hAnsi="宋体" w:eastAsia="宋体" w:cs="宋体"/>
          <w:bCs/>
          <w:sz w:val="28"/>
          <w:szCs w:val="28"/>
        </w:rPr>
        <w:t>附件：</w:t>
      </w:r>
    </w:p>
    <w:p w14:paraId="785B3249">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.报价明细表</w:t>
      </w:r>
    </w:p>
    <w:p w14:paraId="774418BC">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2</w:t>
      </w:r>
      <w:r>
        <w:rPr>
          <w:rFonts w:hint="eastAsia" w:ascii="宋体" w:hAnsi="宋体" w:eastAsia="宋体" w:cs="宋体"/>
          <w:bCs/>
          <w:sz w:val="28"/>
          <w:szCs w:val="28"/>
        </w:rPr>
        <w:t>.授权委托书</w:t>
      </w:r>
    </w:p>
    <w:p w14:paraId="2CD62B20">
      <w:pPr>
        <w:keepNext w:val="0"/>
        <w:pageBreakBefore w:val="0"/>
        <w:kinsoku/>
        <w:wordWrap/>
        <w:overflowPunct/>
        <w:topLinePunct w:val="0"/>
        <w:autoSpaceDE/>
        <w:autoSpaceDN/>
        <w:bidi w:val="0"/>
        <w:spacing w:line="500" w:lineRule="exact"/>
        <w:ind w:left="638" w:leftChars="104" w:hanging="420" w:hangingChars="150"/>
        <w:rPr>
          <w:rFonts w:hint="eastAsia" w:ascii="宋体" w:hAnsi="宋体" w:eastAsia="宋体" w:cs="宋体"/>
          <w:bCs/>
          <w:sz w:val="28"/>
          <w:szCs w:val="28"/>
        </w:rPr>
      </w:pPr>
      <w:r>
        <w:rPr>
          <w:rFonts w:hint="eastAsia" w:ascii="宋体" w:hAnsi="宋体" w:cs="宋体"/>
          <w:bCs/>
          <w:sz w:val="28"/>
          <w:szCs w:val="28"/>
          <w:lang w:val="en-US" w:eastAsia="zh-CN"/>
        </w:rPr>
        <w:t>3</w:t>
      </w:r>
      <w:r>
        <w:rPr>
          <w:rFonts w:hint="eastAsia" w:ascii="宋体" w:hAnsi="宋体" w:eastAsia="宋体" w:cs="宋体"/>
          <w:bCs/>
          <w:sz w:val="28"/>
          <w:szCs w:val="28"/>
        </w:rPr>
        <w:t>.投标函</w:t>
      </w:r>
    </w:p>
    <w:p w14:paraId="2D272B5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692FCA55">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E7E1282">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59133E4F">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01BF0A2C">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2025年12月1</w:t>
      </w:r>
      <w:bookmarkStart w:id="0" w:name="_GoBack"/>
      <w:bookmarkEnd w:id="0"/>
      <w:r>
        <w:rPr>
          <w:rFonts w:hint="eastAsia" w:asciiTheme="minorEastAsia" w:hAnsiTheme="minorEastAsia" w:eastAsiaTheme="minorEastAsia" w:cstheme="minorEastAsia"/>
          <w:color w:val="auto"/>
          <w:sz w:val="30"/>
          <w:szCs w:val="30"/>
          <w:lang w:val="en-US" w:eastAsia="zh-CN"/>
        </w:rPr>
        <w:t>日</w:t>
      </w:r>
    </w:p>
    <w:p w14:paraId="232A550A">
      <w:pPr>
        <w:keepNext w:val="0"/>
        <w:keepLines w:val="0"/>
        <w:pageBreakBefore w:val="0"/>
        <w:widowControl w:val="0"/>
        <w:kinsoku/>
        <w:wordWrap/>
        <w:overflowPunct/>
        <w:topLinePunct w:val="0"/>
        <w:autoSpaceDE/>
        <w:autoSpaceDN/>
        <w:bidi w:val="0"/>
        <w:adjustRightInd/>
        <w:snapToGrid w:val="0"/>
        <w:spacing w:line="400" w:lineRule="exact"/>
        <w:ind w:right="0" w:rightChars="0" w:firstLine="600" w:firstLineChars="200"/>
        <w:contextualSpacing/>
        <w:textAlignment w:val="auto"/>
        <w:rPr>
          <w:rFonts w:hint="eastAsia" w:asciiTheme="minorEastAsia" w:hAnsiTheme="minorEastAsia" w:eastAsiaTheme="minorEastAsia" w:cstheme="minorEastAsia"/>
          <w:color w:val="auto"/>
          <w:sz w:val="30"/>
          <w:szCs w:val="30"/>
          <w:lang w:val="en-US" w:eastAsia="zh-CN"/>
        </w:rPr>
      </w:pPr>
    </w:p>
    <w:p w14:paraId="796E27EC">
      <w:pPr>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7C275AEB">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1625EBC5">
      <w:pPr>
        <w:keepNext w:val="0"/>
        <w:keepLines w:val="0"/>
        <w:pageBreakBefore w:val="0"/>
        <w:widowControl w:val="0"/>
        <w:kinsoku/>
        <w:wordWrap/>
        <w:overflowPunct/>
        <w:topLinePunct w:val="0"/>
        <w:autoSpaceDE/>
        <w:autoSpaceDN/>
        <w:bidi w:val="0"/>
        <w:adjustRightInd/>
        <w:snapToGrid w:val="0"/>
        <w:spacing w:after="313" w:afterLines="100" w:line="500" w:lineRule="exact"/>
        <w:ind w:right="0" w:rightChars="0"/>
        <w:contextualSpacing/>
        <w:jc w:val="center"/>
        <w:textAlignment w:val="auto"/>
        <w:rPr>
          <w:rFonts w:hint="default" w:asciiTheme="minorEastAsia" w:hAnsiTheme="minorEastAsia" w:eastAsiaTheme="minorEastAsia" w:cstheme="minorEastAsia"/>
          <w:color w:val="auto"/>
          <w:sz w:val="32"/>
          <w:szCs w:val="32"/>
          <w:lang w:val="en-US" w:eastAsia="zh-CN"/>
        </w:rPr>
      </w:pPr>
      <w:r>
        <w:rPr>
          <w:rFonts w:hint="eastAsia" w:ascii="方正小标宋_GBK" w:hAnsi="方正小标宋_GBK" w:eastAsia="方正小标宋_GBK" w:cs="方正小标宋_GBK"/>
          <w:b/>
          <w:bCs/>
          <w:sz w:val="32"/>
          <w:szCs w:val="32"/>
          <w:lang w:val="en-US" w:eastAsia="zh-CN"/>
        </w:rPr>
        <w:t>吕四港镇零星、维修工程管道修补器、PE管件采购项目报价单</w:t>
      </w:r>
    </w:p>
    <w:tbl>
      <w:tblPr>
        <w:tblStyle w:val="5"/>
        <w:tblW w:w="5141" w:type="pct"/>
        <w:jc w:val="center"/>
        <w:tblLayout w:type="fixed"/>
        <w:tblCellMar>
          <w:top w:w="56" w:type="dxa"/>
          <w:left w:w="96" w:type="dxa"/>
          <w:bottom w:w="56" w:type="dxa"/>
          <w:right w:w="96" w:type="dxa"/>
        </w:tblCellMar>
      </w:tblPr>
      <w:tblGrid>
        <w:gridCol w:w="647"/>
        <w:gridCol w:w="2362"/>
        <w:gridCol w:w="1119"/>
        <w:gridCol w:w="682"/>
        <w:gridCol w:w="871"/>
        <w:gridCol w:w="1635"/>
        <w:gridCol w:w="1605"/>
        <w:gridCol w:w="955"/>
      </w:tblGrid>
      <w:tr w14:paraId="39A8DE1C">
        <w:tblPrEx>
          <w:tblCellMar>
            <w:top w:w="56" w:type="dxa"/>
            <w:left w:w="96" w:type="dxa"/>
            <w:bottom w:w="56" w:type="dxa"/>
            <w:right w:w="96" w:type="dxa"/>
          </w:tblCellMar>
        </w:tblPrEx>
        <w:trPr>
          <w:trHeight w:val="840" w:hRule="atLeast"/>
          <w:jc w:val="center"/>
        </w:trPr>
        <w:tc>
          <w:tcPr>
            <w:tcW w:w="647" w:type="dxa"/>
            <w:tcBorders>
              <w:top w:val="single" w:color="000000" w:sz="4" w:space="0"/>
              <w:left w:val="single" w:color="000000" w:sz="4" w:space="0"/>
              <w:right w:val="single" w:color="000000" w:sz="4" w:space="0"/>
            </w:tcBorders>
            <w:shd w:val="clear" w:color="auto" w:fill="auto"/>
            <w:noWrap/>
            <w:vAlign w:val="center"/>
          </w:tcPr>
          <w:p w14:paraId="048B6439">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2362" w:type="dxa"/>
            <w:tcBorders>
              <w:top w:val="single" w:color="000000" w:sz="4" w:space="0"/>
              <w:left w:val="single" w:color="000000" w:sz="4" w:space="0"/>
              <w:right w:val="single" w:color="000000" w:sz="4" w:space="0"/>
            </w:tcBorders>
            <w:shd w:val="clear" w:color="auto" w:fill="auto"/>
            <w:noWrap/>
            <w:vAlign w:val="center"/>
          </w:tcPr>
          <w:p w14:paraId="3FE351F2">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物品名称</w:t>
            </w:r>
          </w:p>
        </w:tc>
        <w:tc>
          <w:tcPr>
            <w:tcW w:w="1119" w:type="dxa"/>
            <w:tcBorders>
              <w:top w:val="single" w:color="000000" w:sz="4" w:space="0"/>
              <w:left w:val="single" w:color="000000" w:sz="4" w:space="0"/>
              <w:right w:val="single" w:color="000000" w:sz="4" w:space="0"/>
            </w:tcBorders>
            <w:shd w:val="clear" w:color="auto" w:fill="auto"/>
            <w:noWrap/>
            <w:vAlign w:val="center"/>
          </w:tcPr>
          <w:p w14:paraId="531815F1">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规格型号</w:t>
            </w:r>
          </w:p>
        </w:tc>
        <w:tc>
          <w:tcPr>
            <w:tcW w:w="682" w:type="dxa"/>
            <w:tcBorders>
              <w:top w:val="single" w:color="000000" w:sz="4" w:space="0"/>
              <w:left w:val="single" w:color="000000" w:sz="4" w:space="0"/>
              <w:right w:val="single" w:color="000000" w:sz="4" w:space="0"/>
            </w:tcBorders>
            <w:shd w:val="clear" w:color="auto" w:fill="auto"/>
            <w:noWrap/>
            <w:vAlign w:val="center"/>
          </w:tcPr>
          <w:p w14:paraId="5EB606D3">
            <w:pPr>
              <w:keepNext w:val="0"/>
              <w:keepLines w:val="0"/>
              <w:widowControl/>
              <w:suppressLineNumbers w:val="0"/>
              <w:jc w:val="center"/>
              <w:textAlignment w:val="center"/>
              <w:rPr>
                <w:rFonts w:ascii="宋体" w:hAnsi="宋体" w:cs="宋体"/>
                <w:b/>
                <w:bCs/>
                <w:sz w:val="24"/>
                <w:szCs w:val="24"/>
              </w:rPr>
            </w:pPr>
            <w:r>
              <w:rPr>
                <w:rFonts w:hint="eastAsia" w:ascii="宋体" w:hAnsi="宋体" w:eastAsia="宋体" w:cs="宋体"/>
                <w:b/>
                <w:bCs/>
                <w:i w:val="0"/>
                <w:iCs w:val="0"/>
                <w:color w:val="000000"/>
                <w:kern w:val="0"/>
                <w:sz w:val="22"/>
                <w:szCs w:val="22"/>
                <w:u w:val="none"/>
                <w:lang w:val="en-US" w:eastAsia="zh-CN" w:bidi="ar"/>
              </w:rPr>
              <w:t>预估数量</w:t>
            </w:r>
          </w:p>
        </w:tc>
        <w:tc>
          <w:tcPr>
            <w:tcW w:w="871" w:type="dxa"/>
            <w:tcBorders>
              <w:top w:val="single" w:color="000000" w:sz="4" w:space="0"/>
              <w:left w:val="single" w:color="000000" w:sz="4" w:space="0"/>
              <w:right w:val="single" w:color="000000" w:sz="4" w:space="0"/>
            </w:tcBorders>
            <w:shd w:val="clear" w:color="auto" w:fill="auto"/>
            <w:noWrap/>
            <w:vAlign w:val="center"/>
          </w:tcPr>
          <w:p w14:paraId="56517D62">
            <w:pPr>
              <w:keepNext w:val="0"/>
              <w:keepLines w:val="0"/>
              <w:widowControl/>
              <w:suppressLineNumbers w:val="0"/>
              <w:jc w:val="center"/>
              <w:textAlignment w:val="center"/>
              <w:rPr>
                <w:rFonts w:ascii="宋体" w:hAnsi="宋体" w:cs="宋体"/>
                <w:b/>
                <w:bCs/>
                <w:kern w:val="0"/>
                <w:sz w:val="24"/>
                <w:szCs w:val="24"/>
              </w:rPr>
            </w:pPr>
            <w:r>
              <w:rPr>
                <w:rFonts w:hint="eastAsia" w:ascii="宋体" w:hAnsi="宋体" w:eastAsia="宋体" w:cs="宋体"/>
                <w:b/>
                <w:bCs/>
                <w:i w:val="0"/>
                <w:iCs w:val="0"/>
                <w:color w:val="000000"/>
                <w:kern w:val="0"/>
                <w:sz w:val="22"/>
                <w:szCs w:val="22"/>
                <w:u w:val="none"/>
                <w:lang w:val="en-US" w:eastAsia="zh-CN" w:bidi="ar"/>
              </w:rPr>
              <w:t>单位</w:t>
            </w:r>
          </w:p>
        </w:tc>
        <w:tc>
          <w:tcPr>
            <w:tcW w:w="1635" w:type="dxa"/>
            <w:tcBorders>
              <w:top w:val="single" w:color="000000" w:sz="4" w:space="0"/>
              <w:left w:val="single" w:color="000000" w:sz="4" w:space="0"/>
              <w:right w:val="single" w:color="000000" w:sz="4" w:space="0"/>
            </w:tcBorders>
            <w:shd w:val="clear" w:color="auto" w:fill="auto"/>
            <w:noWrap/>
            <w:vAlign w:val="center"/>
          </w:tcPr>
          <w:p w14:paraId="2D76857A">
            <w:pPr>
              <w:keepNext w:val="0"/>
              <w:keepLines w:val="0"/>
              <w:widowControl/>
              <w:suppressLineNumbers w:val="0"/>
              <w:jc w:val="center"/>
              <w:textAlignment w:val="center"/>
              <w:rPr>
                <w:rFonts w:hint="eastAsia"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单价（元）</w:t>
            </w:r>
          </w:p>
        </w:tc>
        <w:tc>
          <w:tcPr>
            <w:tcW w:w="1605" w:type="dxa"/>
            <w:tcBorders>
              <w:top w:val="single" w:color="000000" w:sz="4" w:space="0"/>
              <w:left w:val="single" w:color="000000" w:sz="4" w:space="0"/>
              <w:right w:val="single" w:color="000000" w:sz="4" w:space="0"/>
            </w:tcBorders>
            <w:shd w:val="clear" w:color="auto" w:fill="auto"/>
            <w:noWrap/>
            <w:vAlign w:val="center"/>
          </w:tcPr>
          <w:p w14:paraId="25A825D0">
            <w:pPr>
              <w:keepNext w:val="0"/>
              <w:keepLines w:val="0"/>
              <w:widowControl/>
              <w:suppressLineNumbers w:val="0"/>
              <w:jc w:val="center"/>
              <w:textAlignment w:val="center"/>
              <w:rPr>
                <w:rFonts w:ascii="宋体" w:hAnsi="宋体" w:eastAsia="宋体" w:cs="宋体"/>
                <w:b/>
                <w:bCs/>
                <w:kern w:val="0"/>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合计（元）</w:t>
            </w:r>
          </w:p>
        </w:tc>
        <w:tc>
          <w:tcPr>
            <w:tcW w:w="9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F25AF41">
            <w:pPr>
              <w:keepNext w:val="0"/>
              <w:keepLines w:val="0"/>
              <w:widowControl/>
              <w:suppressLineNumbers w:val="0"/>
              <w:jc w:val="center"/>
              <w:textAlignment w:val="center"/>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备注</w:t>
            </w:r>
          </w:p>
        </w:tc>
      </w:tr>
      <w:tr w14:paraId="62A28BB3">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160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1993">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8AF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CE1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54E2">
            <w:pPr>
              <w:jc w:val="center"/>
              <w:rPr>
                <w:rFonts w:hint="eastAsia" w:ascii="宋体" w:hAnsi="宋体" w:eastAsia="宋体" w:cs="宋体"/>
                <w:kern w:val="0"/>
                <w:sz w:val="21"/>
                <w:szCs w:val="21"/>
                <w:lang w:val="en-US" w:eastAsia="zh-CN"/>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2DFF">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2F3A8F">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restart"/>
            <w:tcBorders>
              <w:top w:val="single" w:color="000000" w:sz="4" w:space="0"/>
              <w:left w:val="single" w:color="000000" w:sz="4" w:space="0"/>
              <w:right w:val="single" w:color="auto" w:sz="4" w:space="0"/>
            </w:tcBorders>
            <w:shd w:val="clear" w:color="auto" w:fill="auto"/>
            <w:noWrap/>
            <w:vAlign w:val="center"/>
          </w:tcPr>
          <w:p w14:paraId="582D1FC0">
            <w:pPr>
              <w:jc w:val="center"/>
              <w:rPr>
                <w:rFonts w:hint="eastAsia" w:ascii="宋体" w:hAnsi="宋体" w:eastAsia="宋体" w:cs="宋体"/>
                <w:kern w:val="0"/>
                <w:sz w:val="21"/>
                <w:szCs w:val="21"/>
              </w:rPr>
            </w:pPr>
            <w:r>
              <w:rPr>
                <w:rFonts w:hint="eastAsia" w:ascii="仿宋" w:hAnsi="仿宋" w:eastAsia="仿宋" w:cs="仿宋"/>
                <w:i w:val="0"/>
                <w:iCs w:val="0"/>
                <w:color w:val="000000"/>
                <w:kern w:val="0"/>
                <w:sz w:val="24"/>
                <w:szCs w:val="24"/>
                <w:u w:val="none"/>
                <w:lang w:val="en-US" w:eastAsia="zh-CN" w:bidi="ar"/>
              </w:rPr>
              <w:t>含13%增值税、含运费、含卸货费等全部费用</w:t>
            </w:r>
          </w:p>
        </w:tc>
      </w:tr>
      <w:tr w14:paraId="12D0AB2C">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57E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499">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0E11">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160*500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BD4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0789">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264">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374FE">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59791A56">
            <w:pPr>
              <w:jc w:val="center"/>
              <w:rPr>
                <w:rFonts w:hint="eastAsia" w:ascii="宋体" w:hAnsi="宋体" w:eastAsia="宋体" w:cs="宋体"/>
                <w:kern w:val="0"/>
                <w:sz w:val="21"/>
                <w:szCs w:val="21"/>
              </w:rPr>
            </w:pPr>
          </w:p>
        </w:tc>
      </w:tr>
      <w:tr w14:paraId="0F47AA63">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A84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6968">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34E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147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ECCC">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464E">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54388">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0FAAF2BD">
            <w:pPr>
              <w:jc w:val="center"/>
              <w:rPr>
                <w:rFonts w:hint="eastAsia" w:ascii="宋体" w:hAnsi="宋体" w:eastAsia="宋体" w:cs="宋体"/>
                <w:kern w:val="0"/>
                <w:sz w:val="21"/>
                <w:szCs w:val="21"/>
              </w:rPr>
            </w:pPr>
          </w:p>
        </w:tc>
      </w:tr>
      <w:tr w14:paraId="428EFDBB">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34BC">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18C5">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6CB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110*500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0450">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40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59B1">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9D93">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291D34">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11314F59">
            <w:pPr>
              <w:jc w:val="center"/>
              <w:rPr>
                <w:rFonts w:hint="eastAsia" w:ascii="宋体" w:hAnsi="宋体" w:eastAsia="宋体" w:cs="宋体"/>
                <w:kern w:val="0"/>
                <w:sz w:val="21"/>
                <w:szCs w:val="21"/>
              </w:rPr>
            </w:pPr>
          </w:p>
        </w:tc>
      </w:tr>
      <w:tr w14:paraId="753C8B57">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F0F3">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5</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9FFF">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0D28">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9A5D">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2B97">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AB2C">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57BCE">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600D8E51">
            <w:pPr>
              <w:jc w:val="center"/>
              <w:rPr>
                <w:rFonts w:hint="eastAsia" w:ascii="宋体" w:hAnsi="宋体" w:eastAsia="宋体" w:cs="宋体"/>
                <w:kern w:val="0"/>
                <w:sz w:val="21"/>
                <w:szCs w:val="21"/>
              </w:rPr>
            </w:pPr>
          </w:p>
        </w:tc>
      </w:tr>
      <w:tr w14:paraId="66A411E5">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14C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6</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B5E7">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3770F">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90*500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9B4A">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DA07">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0B2C">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A8AF76">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63A6BD37">
            <w:pPr>
              <w:jc w:val="center"/>
              <w:rPr>
                <w:rFonts w:hint="eastAsia" w:ascii="宋体" w:hAnsi="宋体" w:eastAsia="宋体" w:cs="宋体"/>
                <w:kern w:val="0"/>
                <w:sz w:val="21"/>
                <w:szCs w:val="21"/>
              </w:rPr>
            </w:pPr>
          </w:p>
        </w:tc>
      </w:tr>
      <w:tr w14:paraId="70AFDE3B">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C67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7</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13E0">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20A6">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250*300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35C7">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E9E5">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7462">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87CD0">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right w:val="single" w:color="auto" w:sz="4" w:space="0"/>
            </w:tcBorders>
            <w:shd w:val="clear" w:color="auto" w:fill="auto"/>
            <w:noWrap/>
            <w:vAlign w:val="center"/>
          </w:tcPr>
          <w:p w14:paraId="71C601A3">
            <w:pPr>
              <w:jc w:val="center"/>
              <w:rPr>
                <w:rFonts w:hint="eastAsia" w:ascii="宋体" w:hAnsi="宋体" w:eastAsia="宋体" w:cs="宋体"/>
                <w:kern w:val="0"/>
                <w:sz w:val="21"/>
                <w:szCs w:val="21"/>
              </w:rPr>
            </w:pPr>
          </w:p>
        </w:tc>
      </w:tr>
      <w:tr w14:paraId="22EFD198">
        <w:tblPrEx>
          <w:tblCellMar>
            <w:top w:w="56" w:type="dxa"/>
            <w:left w:w="96" w:type="dxa"/>
            <w:bottom w:w="56" w:type="dxa"/>
            <w:right w:w="96" w:type="dxa"/>
          </w:tblCellMar>
        </w:tblPrEx>
        <w:trPr>
          <w:trHeight w:val="481"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DD7B">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8</w:t>
            </w:r>
          </w:p>
        </w:tc>
        <w:tc>
          <w:tcPr>
            <w:tcW w:w="2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4646">
            <w:pPr>
              <w:keepNext w:val="0"/>
              <w:keepLines w:val="0"/>
              <w:widowControl/>
              <w:suppressLineNumbers w:val="0"/>
              <w:jc w:val="center"/>
              <w:textAlignment w:val="center"/>
              <w:rPr>
                <w:rFonts w:hint="eastAsia" w:ascii="宋体" w:hAnsi="宋体" w:cs="宋体"/>
                <w:b/>
                <w:bCs/>
                <w:kern w:val="0"/>
                <w:sz w:val="21"/>
                <w:szCs w:val="21"/>
              </w:rPr>
            </w:pPr>
            <w:r>
              <w:rPr>
                <w:rFonts w:hint="eastAsia" w:ascii="仿宋" w:hAnsi="仿宋" w:eastAsia="仿宋" w:cs="仿宋"/>
                <w:i w:val="0"/>
                <w:iCs w:val="0"/>
                <w:color w:val="000000"/>
                <w:kern w:val="0"/>
                <w:sz w:val="24"/>
                <w:szCs w:val="24"/>
                <w:u w:val="none"/>
                <w:lang w:val="en-US" w:eastAsia="zh-CN" w:bidi="ar"/>
              </w:rPr>
              <w:t>P塑料直管修补器</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ED9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300*500</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9CA4">
            <w:pPr>
              <w:keepNext w:val="0"/>
              <w:keepLines w:val="0"/>
              <w:widowControl/>
              <w:suppressLineNumbers w:val="0"/>
              <w:jc w:val="center"/>
              <w:textAlignment w:val="center"/>
              <w:rPr>
                <w:rFonts w:ascii="宋体" w:hAnsi="宋体" w:cs="宋体"/>
                <w:kern w:val="0"/>
                <w:sz w:val="21"/>
                <w:szCs w:val="21"/>
              </w:rPr>
            </w:pPr>
            <w:r>
              <w:rPr>
                <w:rFonts w:hint="eastAsia" w:ascii="仿宋" w:hAnsi="仿宋" w:eastAsia="仿宋" w:cs="仿宋"/>
                <w:i w:val="0"/>
                <w:iCs w:val="0"/>
                <w:color w:val="000000"/>
                <w:kern w:val="0"/>
                <w:sz w:val="24"/>
                <w:szCs w:val="24"/>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F1B3">
            <w:pPr>
              <w:jc w:val="center"/>
              <w:rPr>
                <w:rFonts w:ascii="宋体" w:hAnsi="宋体" w:cs="宋体"/>
                <w:kern w:val="0"/>
                <w:sz w:val="21"/>
                <w:szCs w:val="21"/>
              </w:rPr>
            </w:pPr>
            <w:r>
              <w:rPr>
                <w:rFonts w:hint="eastAsia" w:ascii="仿宋" w:hAnsi="仿宋" w:eastAsia="仿宋" w:cs="仿宋"/>
                <w:kern w:val="0"/>
                <w:sz w:val="24"/>
                <w:szCs w:val="24"/>
                <w:lang w:val="en-US" w:eastAsia="zh-CN"/>
              </w:rPr>
              <w:t>只</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242D">
            <w:pPr>
              <w:jc w:val="center"/>
              <w:rPr>
                <w:rFonts w:hint="eastAsia" w:ascii="仿宋" w:hAnsi="仿宋" w:eastAsia="仿宋" w:cs="仿宋"/>
                <w:kern w:val="0"/>
                <w:sz w:val="24"/>
                <w:szCs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555ABC">
            <w:pPr>
              <w:keepNext w:val="0"/>
              <w:keepLines w:val="0"/>
              <w:widowControl/>
              <w:suppressLineNumbers w:val="0"/>
              <w:jc w:val="center"/>
              <w:textAlignment w:val="top"/>
              <w:rPr>
                <w:rFonts w:hint="eastAsia" w:ascii="仿宋" w:hAnsi="仿宋" w:eastAsia="仿宋" w:cs="仿宋"/>
                <w:kern w:val="0"/>
                <w:sz w:val="24"/>
                <w:szCs w:val="24"/>
              </w:rPr>
            </w:pPr>
          </w:p>
        </w:tc>
        <w:tc>
          <w:tcPr>
            <w:tcW w:w="955" w:type="dxa"/>
            <w:vMerge w:val="continue"/>
            <w:tcBorders>
              <w:left w:val="single" w:color="000000" w:sz="4" w:space="0"/>
              <w:bottom w:val="single" w:color="000000" w:sz="4" w:space="0"/>
              <w:right w:val="single" w:color="auto" w:sz="4" w:space="0"/>
            </w:tcBorders>
            <w:shd w:val="clear" w:color="auto" w:fill="auto"/>
            <w:noWrap/>
            <w:vAlign w:val="center"/>
          </w:tcPr>
          <w:p w14:paraId="0580DC38">
            <w:pPr>
              <w:jc w:val="center"/>
              <w:rPr>
                <w:rFonts w:hint="eastAsia" w:ascii="宋体" w:hAnsi="宋体" w:eastAsia="宋体" w:cs="宋体"/>
                <w:kern w:val="0"/>
                <w:sz w:val="21"/>
                <w:szCs w:val="21"/>
              </w:rPr>
            </w:pPr>
          </w:p>
        </w:tc>
      </w:tr>
      <w:tr w14:paraId="3C1CCE5F">
        <w:tblPrEx>
          <w:tblCellMar>
            <w:top w:w="56" w:type="dxa"/>
            <w:left w:w="96" w:type="dxa"/>
            <w:bottom w:w="56" w:type="dxa"/>
            <w:right w:w="96" w:type="dxa"/>
          </w:tblCellMar>
        </w:tblPrEx>
        <w:trPr>
          <w:trHeight w:val="837" w:hRule="atLeast"/>
          <w:jc w:val="center"/>
        </w:trPr>
        <w:tc>
          <w:tcPr>
            <w:tcW w:w="3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141D">
            <w:pPr>
              <w:keepNext w:val="0"/>
              <w:keepLines w:val="0"/>
              <w:widowControl/>
              <w:suppressLineNumbers w:val="0"/>
              <w:jc w:val="center"/>
              <w:textAlignment w:val="center"/>
              <w:rPr>
                <w:rFonts w:ascii="宋体" w:hAnsi="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总计（含税）</w:t>
            </w:r>
          </w:p>
        </w:tc>
        <w:tc>
          <w:tcPr>
            <w:tcW w:w="68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92AF">
            <w:pPr>
              <w:keepNext w:val="0"/>
              <w:keepLines w:val="0"/>
              <w:widowControl/>
              <w:suppressLineNumbers w:val="0"/>
              <w:jc w:val="left"/>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大写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eastAsia="zh-CN"/>
              </w:rPr>
              <w:t>：</w:t>
            </w:r>
          </w:p>
          <w:p w14:paraId="6B07B091">
            <w:pPr>
              <w:keepNext w:val="0"/>
              <w:keepLines w:val="0"/>
              <w:widowControl/>
              <w:suppressLineNumbers w:val="0"/>
              <w:jc w:val="left"/>
              <w:textAlignment w:val="center"/>
              <w:rPr>
                <w:rFonts w:hint="default" w:ascii="宋体" w:hAnsi="宋体" w:cs="宋体"/>
                <w:kern w:val="0"/>
                <w:sz w:val="21"/>
                <w:szCs w:val="21"/>
                <w:lang w:val="en-US"/>
              </w:rPr>
            </w:pP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bCs/>
                <w:i w:val="0"/>
                <w:iCs w:val="0"/>
                <w:color w:val="000000"/>
                <w:sz w:val="21"/>
                <w:szCs w:val="21"/>
                <w:u w:val="none"/>
                <w:lang w:val="en-US" w:eastAsia="zh-CN"/>
              </w:rPr>
              <w:t>小写</w:t>
            </w:r>
            <w:r>
              <w:rPr>
                <w:rFonts w:hint="eastAsia" w:ascii="宋体" w:hAnsi="宋体" w:eastAsia="宋体" w:cs="宋体"/>
                <w:b/>
                <w:bCs/>
                <w:i w:val="0"/>
                <w:iCs w:val="0"/>
                <w:color w:val="000000"/>
                <w:sz w:val="21"/>
                <w:szCs w:val="21"/>
                <w:u w:val="none"/>
                <w:lang w:eastAsia="zh-CN"/>
              </w:rPr>
              <w:t>）</w:t>
            </w:r>
            <w:r>
              <w:rPr>
                <w:rFonts w:hint="eastAsia" w:ascii="宋体" w:hAnsi="宋体" w:cs="宋体"/>
                <w:b/>
                <w:bCs/>
                <w:i w:val="0"/>
                <w:iCs w:val="0"/>
                <w:color w:val="000000"/>
                <w:sz w:val="21"/>
                <w:szCs w:val="21"/>
                <w:u w:val="none"/>
                <w:lang w:eastAsia="zh-CN"/>
              </w:rPr>
              <w:t>：</w:t>
            </w:r>
          </w:p>
        </w:tc>
      </w:tr>
    </w:tbl>
    <w:p w14:paraId="17FB3315">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p>
    <w:p w14:paraId="7FF4472F">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sz w:val="32"/>
          <w:szCs w:val="32"/>
          <w:highlight w:val="none"/>
        </w:rPr>
      </w:pPr>
      <w:r>
        <w:rPr>
          <w:rFonts w:hint="eastAsia" w:ascii="黑体" w:hAnsi="黑体" w:eastAsia="黑体" w:cs="黑体"/>
          <w:b/>
          <w:bCs/>
          <w:color w:val="auto"/>
          <w:spacing w:val="0"/>
          <w:kern w:val="0"/>
          <w:sz w:val="32"/>
          <w:szCs w:val="32"/>
          <w:highlight w:val="none"/>
          <w:shd w:val="clear" w:color="auto" w:fill="FFFFFF"/>
          <w:lang w:val="en-US" w:eastAsia="zh-CN"/>
        </w:rPr>
        <w:t>一、</w:t>
      </w:r>
      <w:r>
        <w:rPr>
          <w:rFonts w:hint="eastAsia" w:ascii="黑体" w:hAnsi="黑体" w:eastAsia="黑体" w:cs="黑体"/>
          <w:b/>
          <w:bCs/>
          <w:color w:val="auto"/>
          <w:spacing w:val="0"/>
          <w:kern w:val="0"/>
          <w:sz w:val="32"/>
          <w:szCs w:val="32"/>
          <w:highlight w:val="none"/>
          <w:shd w:val="clear" w:color="auto" w:fill="FFFFFF"/>
        </w:rPr>
        <w:t>申请人的资格要求</w:t>
      </w:r>
    </w:p>
    <w:p w14:paraId="5A3AD1C5">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1.满足《中华人民共和国政府采购法》第二十二条规定。</w:t>
      </w:r>
    </w:p>
    <w:p w14:paraId="7A8BAF1F">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2.落实政府采购政策需满足的资格要求：无。</w:t>
      </w:r>
    </w:p>
    <w:p w14:paraId="1D473AC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3.本项目的特定资格要求：投标人应为在中华人民共和国境内注册的货物制造商或经销商，有能力提供本项目中所采购的货物及服务，提供有效的营业执照；</w:t>
      </w:r>
    </w:p>
    <w:p w14:paraId="4FFA8A7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4.未被“信用中国”、“中国政府采购网”、“信用江苏”网站列入失信被执行人、重大税收违法案件当事人名单、政府采购严重违法失信行为记录名单(提供网页截图)；</w:t>
      </w:r>
    </w:p>
    <w:p w14:paraId="3FF8674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5.供应商或经销商须提供近三年（自提交投标文件截止日前推三年，以合同签订时间为准）以来具有与水务或自来水厂签订的供货业绩（提供合同或相应发票复印件，经销商提供授权品牌业绩资料）；</w:t>
      </w:r>
    </w:p>
    <w:p w14:paraId="47AA7830">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color w:val="auto"/>
          <w:spacing w:val="0"/>
          <w:kern w:val="0"/>
          <w:sz w:val="32"/>
          <w:szCs w:val="32"/>
          <w:highlight w:val="none"/>
          <w:shd w:val="clear" w:color="auto" w:fill="FFFFFF"/>
        </w:rPr>
        <w:t>.本项目不接受联合体投标。</w:t>
      </w:r>
    </w:p>
    <w:p w14:paraId="562ACCB4">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color w:val="auto"/>
          <w:spacing w:val="0"/>
          <w:kern w:val="0"/>
          <w:sz w:val="32"/>
          <w:szCs w:val="32"/>
          <w:highlight w:val="none"/>
          <w:shd w:val="clear" w:color="auto" w:fill="FFFFFF"/>
        </w:rPr>
        <w:t>.禁止情形：</w:t>
      </w:r>
    </w:p>
    <w:p w14:paraId="764D3518">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拒绝以下投标人参与投标：</w:t>
      </w:r>
    </w:p>
    <w:p w14:paraId="6525FC5B">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（1）单位负责人为同一人或者存在直接控股、管理关系的不同投标人，不得参加同一合同项下的政府采购活动。</w:t>
      </w:r>
    </w:p>
    <w:p w14:paraId="6B734CB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rPr>
      </w:pPr>
      <w:r>
        <w:rPr>
          <w:rFonts w:hint="eastAsia" w:ascii="仿宋_GB2312" w:hAnsi="仿宋_GB2312" w:eastAsia="仿宋_GB2312" w:cs="仿宋_GB2312"/>
          <w:color w:val="auto"/>
          <w:spacing w:val="0"/>
          <w:kern w:val="0"/>
          <w:sz w:val="32"/>
          <w:szCs w:val="32"/>
          <w:highlight w:val="none"/>
          <w:shd w:val="clear" w:color="auto" w:fill="FFFFFF"/>
        </w:rPr>
        <w:t>（2）为采购项目提供整体设计、规范编制或者项目管理、监理、检测等服务的投标人，不得再参加本采购项目的其他采购活动。</w:t>
      </w:r>
    </w:p>
    <w:p w14:paraId="1F30F8B5">
      <w:pPr>
        <w:keepNext w:val="0"/>
        <w:keepLines w:val="0"/>
        <w:pageBreakBefore w:val="0"/>
        <w:widowControl/>
        <w:shd w:val="clear" w:color="auto" w:fill="FFFFFF"/>
        <w:kinsoku/>
        <w:wordWrap/>
        <w:overflowPunct/>
        <w:topLinePunct w:val="0"/>
        <w:autoSpaceDE/>
        <w:autoSpaceDN/>
        <w:bidi w:val="0"/>
        <w:adjustRightInd/>
        <w:snapToGrid/>
        <w:spacing w:line="400" w:lineRule="exact"/>
        <w:ind w:right="0" w:rightChars="0" w:firstLine="643" w:firstLineChars="200"/>
        <w:jc w:val="left"/>
        <w:textAlignment w:val="auto"/>
        <w:rPr>
          <w:rFonts w:hint="eastAsia" w:ascii="黑体" w:hAnsi="黑体" w:eastAsia="黑体" w:cs="黑体"/>
          <w:b/>
          <w:bCs/>
          <w:color w:val="auto"/>
          <w:spacing w:val="0"/>
          <w:kern w:val="0"/>
          <w:sz w:val="32"/>
          <w:szCs w:val="32"/>
          <w:highlight w:val="none"/>
          <w:shd w:val="clear" w:color="auto" w:fill="FFFFFF"/>
          <w:lang w:val="en-US" w:eastAsia="zh-CN"/>
        </w:rPr>
      </w:pPr>
      <w:r>
        <w:rPr>
          <w:rFonts w:hint="eastAsia" w:ascii="黑体" w:hAnsi="黑体" w:eastAsia="黑体" w:cs="黑体"/>
          <w:b/>
          <w:bCs/>
          <w:color w:val="auto"/>
          <w:spacing w:val="0"/>
          <w:kern w:val="0"/>
          <w:sz w:val="32"/>
          <w:szCs w:val="32"/>
          <w:highlight w:val="none"/>
          <w:shd w:val="clear" w:color="auto" w:fill="FFFFFF"/>
          <w:lang w:val="en-US" w:eastAsia="zh-CN"/>
        </w:rPr>
        <w:t>二、材料标准及要求：</w:t>
      </w:r>
    </w:p>
    <w:p w14:paraId="396D39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 xml:space="preserve">（1）产品材质为球墨铸铁 。                                                                           </w:t>
      </w:r>
    </w:p>
    <w:p w14:paraId="7A79018E">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（2）紧固件材质为碳钢螺栓及碳钢螺母，性能等级应达到GB/T 3098.1—2010中规定的8.8或更高等级。</w:t>
      </w:r>
    </w:p>
    <w:p w14:paraId="4655E7B6">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（3）紧固件的尺寸和数量应满足连接强度和相应压力条件下的承压要求。</w:t>
      </w:r>
    </w:p>
    <w:p w14:paraId="2A08D0C2">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（4）紧固件的技术条件应符合 GB/T 16938 的规定。</w:t>
      </w:r>
    </w:p>
    <w:p w14:paraId="6931682C">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（5）配置螺栓螺母进行高耐腐蚀的发黑处理。</w:t>
      </w:r>
    </w:p>
    <w:p w14:paraId="2AB5B00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（6）紧固件应采用市场标准六角头螺栓，采用单边拧紧方式，产品上设置止转结构，便于现场紧固拧紧操作。</w:t>
      </w:r>
    </w:p>
    <w:p w14:paraId="032506E1">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（7）产品采用双密封槽结构。</w:t>
      </w:r>
    </w:p>
    <w:p w14:paraId="10147EA3">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（8）橡胶圈材质为三元乙丙。</w:t>
      </w:r>
    </w:p>
    <w:p w14:paraId="7E757A5C">
      <w:pPr>
        <w:pStyle w:val="2"/>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27F09134">
      <w:pPr>
        <w:rPr>
          <w:rFonts w:hint="eastAsia" w:ascii="仿宋_GB2312" w:hAnsi="仿宋_GB2312" w:eastAsia="仿宋_GB2312" w:cs="仿宋_GB2312"/>
          <w:color w:val="auto"/>
          <w:spacing w:val="0"/>
          <w:kern w:val="0"/>
          <w:sz w:val="32"/>
          <w:szCs w:val="32"/>
          <w:highlight w:val="none"/>
          <w:shd w:val="clear" w:color="auto" w:fill="FFFFFF"/>
          <w:lang w:val="en-US" w:eastAsia="zh-CN"/>
        </w:rPr>
      </w:pPr>
    </w:p>
    <w:p w14:paraId="43FC72E5">
      <w:pPr>
        <w:pStyle w:val="2"/>
        <w:ind w:left="4418" w:leftChars="2104" w:firstLine="0" w:firstLineChars="0"/>
        <w:jc w:val="both"/>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报价单位（盖章）：</w:t>
      </w:r>
    </w:p>
    <w:p w14:paraId="706A069B">
      <w:pPr>
        <w:ind w:left="4418" w:leftChars="2104" w:firstLine="0" w:firstLineChars="0"/>
        <w:rPr>
          <w:rFonts w:hint="eastAsia" w:ascii="仿宋_GB2312" w:hAnsi="仿宋_GB2312" w:eastAsia="仿宋_GB2312" w:cs="仿宋_GB2312"/>
          <w:color w:val="auto"/>
          <w:spacing w:val="0"/>
          <w:kern w:val="0"/>
          <w:sz w:val="32"/>
          <w:szCs w:val="32"/>
          <w:highlight w:val="none"/>
          <w:shd w:val="clear" w:color="auto" w:fill="FFFFFF"/>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报 价 人：</w:t>
      </w:r>
    </w:p>
    <w:p w14:paraId="21AAC164">
      <w:pPr>
        <w:pStyle w:val="2"/>
        <w:ind w:left="4418" w:leftChars="2104" w:firstLine="0" w:firstLineChars="0"/>
        <w:jc w:val="both"/>
        <w:rPr>
          <w:rFonts w:hint="default"/>
          <w:lang w:val="en-US" w:eastAsia="zh-CN"/>
        </w:rPr>
      </w:pPr>
      <w:r>
        <w:rPr>
          <w:rFonts w:hint="eastAsia" w:ascii="仿宋_GB2312" w:hAnsi="仿宋_GB2312" w:eastAsia="仿宋_GB2312" w:cs="仿宋_GB2312"/>
          <w:color w:val="auto"/>
          <w:spacing w:val="0"/>
          <w:kern w:val="0"/>
          <w:sz w:val="32"/>
          <w:szCs w:val="32"/>
          <w:highlight w:val="none"/>
          <w:shd w:val="clear" w:color="auto" w:fill="FFFFFF"/>
          <w:lang w:val="en-US" w:eastAsia="zh-CN"/>
        </w:rPr>
        <w:t>联系方式：</w:t>
      </w:r>
    </w:p>
    <w:p w14:paraId="49B91C21">
      <w:pPr>
        <w:rPr>
          <w:rStyle w:val="7"/>
          <w:rFonts w:hint="eastAsia" w:ascii="仿宋_GB2312" w:hAnsi="仿宋_GB2312" w:eastAsia="仿宋_GB2312" w:cs="仿宋_GB2312"/>
          <w:b/>
          <w:color w:val="auto"/>
          <w:spacing w:val="0"/>
          <w:kern w:val="0"/>
          <w:sz w:val="28"/>
          <w:szCs w:val="28"/>
          <w:highlight w:val="none"/>
          <w:lang w:val="en-US" w:eastAsia="zh-CN"/>
        </w:rPr>
      </w:pPr>
      <w:r>
        <w:rPr>
          <w:rStyle w:val="7"/>
          <w:rFonts w:hint="eastAsia" w:ascii="仿宋_GB2312" w:hAnsi="仿宋_GB2312" w:eastAsia="仿宋_GB2312" w:cs="仿宋_GB2312"/>
          <w:b/>
          <w:color w:val="auto"/>
          <w:spacing w:val="0"/>
          <w:kern w:val="0"/>
          <w:sz w:val="28"/>
          <w:szCs w:val="28"/>
          <w:highlight w:val="none"/>
          <w:lang w:val="en-US" w:eastAsia="zh-CN"/>
        </w:rPr>
        <w:br w:type="page"/>
      </w:r>
    </w:p>
    <w:p w14:paraId="420F5AB6">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附件2：</w:t>
      </w:r>
    </w:p>
    <w:p w14:paraId="73B8EA83">
      <w:pPr>
        <w:pStyle w:val="3"/>
        <w:keepNext w:val="0"/>
        <w:keepLines w:val="0"/>
        <w:pageBreakBefore w:val="0"/>
        <w:widowControl w:val="0"/>
        <w:kinsoku/>
        <w:wordWrap w:val="0"/>
        <w:overflowPunct/>
        <w:topLinePunct w:val="0"/>
        <w:autoSpaceDE/>
        <w:autoSpaceDN/>
        <w:bidi w:val="0"/>
        <w:snapToGrid/>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授权委托书</w:t>
      </w:r>
    </w:p>
    <w:p w14:paraId="7EF1BC5B">
      <w:pPr>
        <w:keepNext w:val="0"/>
        <w:keepLines w:val="0"/>
        <w:pageBreakBefore w:val="0"/>
        <w:widowControl w:val="0"/>
        <w:kinsoku/>
        <w:wordWrap w:val="0"/>
        <w:overflowPunct/>
        <w:topLinePunct w:val="0"/>
        <w:autoSpaceDE/>
        <w:autoSpaceDN/>
        <w:bidi w:val="0"/>
        <w:snapToGrid/>
        <w:spacing w:line="560" w:lineRule="exact"/>
        <w:jc w:val="center"/>
        <w:rPr>
          <w:rFonts w:ascii="方正小标宋简体" w:eastAsia="方正小标宋简体"/>
          <w:sz w:val="44"/>
          <w:szCs w:val="44"/>
        </w:rPr>
      </w:pPr>
    </w:p>
    <w:p w14:paraId="6B3AF7D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lang w:val="en-US" w:eastAsia="zh-CN"/>
        </w:rPr>
        <w:t>启东市吕四自来水厂有限公司</w:t>
      </w:r>
      <w:r>
        <w:rPr>
          <w:rFonts w:hint="eastAsia" w:ascii="宋体" w:hAnsi="宋体" w:eastAsia="宋体" w:cs="宋体"/>
          <w:sz w:val="32"/>
          <w:szCs w:val="32"/>
        </w:rPr>
        <w:t>：</w:t>
      </w:r>
    </w:p>
    <w:p w14:paraId="2E0AA7F1">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我公司授权我公司员工</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（身份证号码为：                     </w:t>
      </w:r>
      <w:r>
        <w:rPr>
          <w:rFonts w:hint="eastAsia" w:ascii="宋体" w:hAnsi="宋体" w:eastAsia="宋体" w:cs="宋体"/>
          <w:sz w:val="32"/>
          <w:szCs w:val="32"/>
        </w:rPr>
        <w:t>）参加贵单位关于</w:t>
      </w:r>
      <w:r>
        <w:rPr>
          <w:rFonts w:hint="eastAsia" w:ascii="宋体" w:hAnsi="宋体" w:eastAsia="宋体" w:cs="宋体"/>
          <w:sz w:val="32"/>
          <w:szCs w:val="32"/>
          <w:u w:val="single"/>
          <w:lang w:val="en-US" w:eastAsia="zh-CN"/>
        </w:rPr>
        <w:t>吕四港镇零星、维修工程管道修补器、PE管件采购项目</w:t>
      </w:r>
      <w:r>
        <w:rPr>
          <w:rFonts w:hint="eastAsia" w:ascii="宋体" w:hAnsi="宋体" w:eastAsia="宋体" w:cs="宋体"/>
          <w:sz w:val="32"/>
          <w:szCs w:val="32"/>
        </w:rPr>
        <w:t>的投标。</w:t>
      </w:r>
    </w:p>
    <w:p w14:paraId="5C0A34A7">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授权范围如下：</w:t>
      </w:r>
    </w:p>
    <w:p w14:paraId="4B48DA7E">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递交相关文件资料、参加投标、议价、签署相关文件及与本次招标活动相关的工作内容，该代理人代表在投标、开标、评标过程中签署的一切文件和处理与之有关的一切事务，我公司均予以确认并承担相应法律责任。  </w:t>
      </w:r>
    </w:p>
    <w:p w14:paraId="7BC85E6F">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本授权期限自    年   月  日起至    年   月  日止。 </w:t>
      </w:r>
    </w:p>
    <w:p w14:paraId="1A8938A5">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2EFAFD32">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p>
    <w:p w14:paraId="04155C63">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授权人（盖章）：</w:t>
      </w:r>
    </w:p>
    <w:p w14:paraId="029D0399">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法定代表人签字或盖章：</w:t>
      </w:r>
    </w:p>
    <w:p w14:paraId="7A0E7F8A">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被授权人签字：</w:t>
      </w:r>
    </w:p>
    <w:p w14:paraId="386BBD6D">
      <w:pPr>
        <w:keepNext w:val="0"/>
        <w:keepLines w:val="0"/>
        <w:pageBreakBefore w:val="0"/>
        <w:widowControl w:val="0"/>
        <w:kinsoku/>
        <w:wordWrap w:val="0"/>
        <w:overflowPunct/>
        <w:topLinePunct w:val="0"/>
        <w:autoSpaceDE/>
        <w:autoSpaceDN/>
        <w:bidi w:val="0"/>
        <w:snapToGrid/>
        <w:spacing w:line="560" w:lineRule="exact"/>
        <w:jc w:val="left"/>
        <w:rPr>
          <w:rFonts w:hint="eastAsia" w:ascii="宋体" w:hAnsi="宋体" w:eastAsia="宋体" w:cs="宋体"/>
          <w:sz w:val="32"/>
          <w:szCs w:val="32"/>
        </w:rPr>
      </w:pPr>
      <w:r>
        <w:rPr>
          <w:rFonts w:hint="eastAsia" w:ascii="宋体" w:hAnsi="宋体" w:eastAsia="宋体" w:cs="宋体"/>
          <w:sz w:val="32"/>
          <w:szCs w:val="32"/>
        </w:rPr>
        <w:t xml:space="preserve">                     日期：    年   月  日</w:t>
      </w:r>
    </w:p>
    <w:p w14:paraId="476C26B1">
      <w:pPr>
        <w:rPr>
          <w:rFonts w:hint="eastAsia"/>
          <w:lang w:val="en-US" w:eastAsia="zh-CN"/>
        </w:rPr>
      </w:pPr>
      <w:r>
        <w:rPr>
          <w:rFonts w:hint="eastAsia"/>
          <w:lang w:val="en-US" w:eastAsia="zh-CN"/>
        </w:rPr>
        <w:br w:type="page"/>
      </w:r>
    </w:p>
    <w:p w14:paraId="4E7A80C9">
      <w:pPr>
        <w:keepNext w:val="0"/>
        <w:keepLines w:val="0"/>
        <w:pageBreakBefore w:val="0"/>
        <w:widowControl w:val="0"/>
        <w:kinsoku/>
        <w:wordWrap/>
        <w:overflowPunct/>
        <w:topLinePunct w:val="0"/>
        <w:autoSpaceDE/>
        <w:autoSpaceDN/>
        <w:bidi w:val="0"/>
        <w:adjustRightInd/>
        <w:snapToGrid w:val="0"/>
        <w:spacing w:line="400" w:lineRule="exact"/>
        <w:ind w:right="0" w:rightChars="0"/>
        <w:contextualSpacing/>
        <w:textAlignment w:val="auto"/>
        <w:rPr>
          <w:rFonts w:hint="default"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附件3：</w:t>
      </w:r>
    </w:p>
    <w:p w14:paraId="470AFF96">
      <w:pPr>
        <w:pStyle w:val="3"/>
        <w:spacing w:line="560" w:lineRule="exact"/>
        <w:ind w:firstLine="0"/>
        <w:jc w:val="center"/>
        <w:outlineLvl w:val="0"/>
        <w:rPr>
          <w:rFonts w:ascii="方正小标宋简体" w:eastAsia="方正小标宋简体"/>
          <w:b/>
          <w:bCs/>
          <w:color w:val="000000"/>
          <w:sz w:val="44"/>
          <w:szCs w:val="44"/>
        </w:rPr>
      </w:pPr>
      <w:r>
        <w:rPr>
          <w:rFonts w:hint="eastAsia" w:ascii="方正小标宋简体" w:eastAsia="方正小标宋简体"/>
          <w:b/>
          <w:bCs/>
          <w:color w:val="000000"/>
          <w:sz w:val="44"/>
          <w:szCs w:val="44"/>
        </w:rPr>
        <w:t>投标函</w:t>
      </w:r>
    </w:p>
    <w:p w14:paraId="070D2C3E">
      <w:pPr>
        <w:pStyle w:val="3"/>
        <w:spacing w:line="560" w:lineRule="exact"/>
        <w:ind w:firstLine="0"/>
        <w:rPr>
          <w:rFonts w:ascii="仿宋_GB2312" w:hAnsi="仿宋" w:eastAsia="仿宋_GB2312" w:cs="仿宋"/>
          <w:color w:val="000000"/>
          <w:sz w:val="32"/>
          <w:szCs w:val="32"/>
          <w:u w:val="single"/>
        </w:rPr>
      </w:pPr>
    </w:p>
    <w:p w14:paraId="2E8ED2A7">
      <w:pPr>
        <w:pStyle w:val="3"/>
        <w:spacing w:line="560" w:lineRule="exact"/>
        <w:ind w:firstLine="0"/>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启东市吕四自来水厂有限公司</w:t>
      </w:r>
      <w:r>
        <w:rPr>
          <w:rFonts w:hint="eastAsia" w:ascii="宋体" w:hAnsi="宋体" w:eastAsia="宋体" w:cs="宋体"/>
          <w:kern w:val="2"/>
          <w:sz w:val="32"/>
          <w:szCs w:val="32"/>
        </w:rPr>
        <w:t>：</w:t>
      </w:r>
    </w:p>
    <w:p w14:paraId="277C94CD">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贵单位关</w:t>
      </w:r>
      <w:r>
        <w:rPr>
          <w:rFonts w:hint="eastAsia" w:ascii="宋体" w:hAnsi="宋体" w:eastAsia="宋体" w:cs="宋体"/>
          <w:kern w:val="2"/>
          <w:sz w:val="32"/>
          <w:szCs w:val="32"/>
          <w:lang w:val="en-US" w:eastAsia="zh-CN"/>
        </w:rPr>
        <w:t>于</w:t>
      </w:r>
      <w:r>
        <w:rPr>
          <w:rFonts w:hint="eastAsia" w:ascii="宋体" w:hAnsi="宋体" w:eastAsia="宋体" w:cs="宋体"/>
          <w:sz w:val="32"/>
          <w:szCs w:val="32"/>
          <w:u w:val="single"/>
          <w:lang w:val="en-US" w:eastAsia="zh-CN"/>
        </w:rPr>
        <w:t>吕四港镇零星、维修工程管道修补器、PE管件采购项目</w:t>
      </w:r>
      <w:r>
        <w:rPr>
          <w:rFonts w:hint="eastAsia" w:ascii="宋体" w:hAnsi="宋体" w:eastAsia="宋体" w:cs="宋体"/>
          <w:kern w:val="2"/>
          <w:sz w:val="32"/>
          <w:szCs w:val="32"/>
          <w:lang w:val="en-US" w:eastAsia="zh-CN"/>
        </w:rPr>
        <w:t>的招标公告我单位已对招标项目的现状及具体招标要求已充分了解并接</w:t>
      </w:r>
      <w:r>
        <w:rPr>
          <w:rFonts w:hint="eastAsia" w:ascii="宋体" w:hAnsi="宋体" w:eastAsia="宋体" w:cs="宋体"/>
          <w:kern w:val="2"/>
          <w:sz w:val="32"/>
          <w:szCs w:val="32"/>
        </w:rPr>
        <w:t>受。</w:t>
      </w:r>
    </w:p>
    <w:p w14:paraId="39BE71E9">
      <w:pPr>
        <w:pStyle w:val="3"/>
        <w:spacing w:line="560" w:lineRule="exact"/>
        <w:rPr>
          <w:rFonts w:hint="eastAsia" w:ascii="宋体" w:hAnsi="宋体" w:eastAsia="宋体" w:cs="宋体"/>
          <w:kern w:val="2"/>
          <w:sz w:val="32"/>
          <w:szCs w:val="32"/>
        </w:rPr>
      </w:pPr>
      <w:r>
        <w:rPr>
          <w:rFonts w:hint="eastAsia" w:ascii="宋体" w:hAnsi="宋体" w:eastAsia="宋体" w:cs="宋体"/>
          <w:kern w:val="2"/>
          <w:sz w:val="32"/>
          <w:szCs w:val="32"/>
        </w:rPr>
        <w:t xml:space="preserve"> 我单位经过对项目现场现状的考察、充分市场调研后，特报价：</w:t>
      </w:r>
      <w:r>
        <w:rPr>
          <w:rFonts w:hint="eastAsia" w:ascii="宋体" w:hAnsi="宋体" w:eastAsia="宋体" w:cs="宋体"/>
          <w:b/>
          <w:bCs/>
          <w:kern w:val="2"/>
          <w:sz w:val="32"/>
          <w:szCs w:val="32"/>
        </w:rPr>
        <w:t>含税</w:t>
      </w:r>
      <w:r>
        <w:rPr>
          <w:rFonts w:hint="eastAsia" w:ascii="宋体" w:hAnsi="宋体" w:eastAsia="宋体" w:cs="宋体"/>
          <w:kern w:val="2"/>
          <w:sz w:val="32"/>
          <w:szCs w:val="32"/>
        </w:rPr>
        <w:t>（税率</w:t>
      </w:r>
      <w:r>
        <w:rPr>
          <w:rFonts w:hint="eastAsia" w:ascii="宋体" w:hAnsi="宋体" w:eastAsia="宋体" w:cs="宋体"/>
          <w:kern w:val="2"/>
          <w:sz w:val="32"/>
          <w:szCs w:val="32"/>
          <w:u w:val="single"/>
          <w:lang w:val="en-US" w:eastAsia="zh-CN"/>
        </w:rPr>
        <w:t xml:space="preserve"> </w:t>
      </w:r>
      <w:r>
        <w:rPr>
          <w:rFonts w:hint="eastAsia" w:ascii="宋体" w:hAnsi="宋体" w:cs="宋体"/>
          <w:kern w:val="2"/>
          <w:sz w:val="32"/>
          <w:szCs w:val="32"/>
          <w:u w:val="single"/>
          <w:lang w:val="en-US" w:eastAsia="zh-CN"/>
        </w:rPr>
        <w:t>13</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u w:val="single"/>
        </w:rPr>
        <w:t>%</w:t>
      </w:r>
      <w:r>
        <w:rPr>
          <w:rFonts w:hint="eastAsia" w:ascii="宋体" w:hAnsi="宋体" w:eastAsia="宋体" w:cs="宋体"/>
          <w:kern w:val="2"/>
          <w:sz w:val="32"/>
          <w:szCs w:val="32"/>
        </w:rPr>
        <w:t>）人民币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元整（大写人民币</w:t>
      </w:r>
      <w:r>
        <w:rPr>
          <w:rFonts w:hint="eastAsia" w:ascii="宋体" w:hAnsi="宋体" w:eastAsia="宋体" w:cs="宋体"/>
          <w:kern w:val="2"/>
          <w:sz w:val="32"/>
          <w:szCs w:val="32"/>
          <w:u w:val="single"/>
          <w:lang w:val="en-US" w:eastAsia="zh-CN"/>
        </w:rPr>
        <w:t xml:space="preserve">            </w:t>
      </w:r>
      <w:r>
        <w:rPr>
          <w:rFonts w:hint="eastAsia" w:ascii="宋体" w:hAnsi="宋体" w:eastAsia="宋体" w:cs="宋体"/>
          <w:kern w:val="2"/>
          <w:sz w:val="32"/>
          <w:szCs w:val="32"/>
        </w:rPr>
        <w:t>元整）。</w:t>
      </w:r>
      <w:r>
        <w:rPr>
          <w:rFonts w:hint="eastAsia" w:ascii="宋体" w:hAnsi="宋体" w:eastAsia="宋体" w:cs="宋体"/>
          <w:b/>
          <w:kern w:val="2"/>
          <w:sz w:val="32"/>
          <w:szCs w:val="32"/>
        </w:rPr>
        <w:t>除税</w:t>
      </w:r>
      <w:r>
        <w:rPr>
          <w:rFonts w:hint="eastAsia" w:ascii="宋体" w:hAnsi="宋体" w:eastAsia="宋体" w:cs="宋体"/>
          <w:bCs/>
          <w:kern w:val="2"/>
          <w:sz w:val="32"/>
          <w:szCs w:val="32"/>
        </w:rPr>
        <w:t>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元整（大写人民币</w:t>
      </w:r>
      <w:r>
        <w:rPr>
          <w:rFonts w:hint="eastAsia" w:ascii="宋体" w:hAnsi="宋体" w:eastAsia="宋体" w:cs="宋体"/>
          <w:bCs/>
          <w:kern w:val="2"/>
          <w:sz w:val="32"/>
          <w:szCs w:val="32"/>
          <w:u w:val="single"/>
          <w:lang w:val="en-US" w:eastAsia="zh-CN"/>
        </w:rPr>
        <w:t xml:space="preserve">               </w:t>
      </w:r>
      <w:r>
        <w:rPr>
          <w:rFonts w:hint="eastAsia" w:ascii="宋体" w:hAnsi="宋体" w:eastAsia="宋体" w:cs="宋体"/>
          <w:bCs/>
          <w:kern w:val="2"/>
          <w:sz w:val="32"/>
          <w:szCs w:val="32"/>
        </w:rPr>
        <w:t>元整）。</w:t>
      </w:r>
    </w:p>
    <w:p w14:paraId="6B6816DF">
      <w:pPr>
        <w:pStyle w:val="3"/>
        <w:spacing w:line="560" w:lineRule="exact"/>
        <w:rPr>
          <w:rFonts w:hint="eastAsia" w:ascii="宋体" w:hAnsi="宋体" w:eastAsia="宋体" w:cs="宋体"/>
          <w:b/>
          <w:kern w:val="2"/>
          <w:sz w:val="32"/>
          <w:szCs w:val="32"/>
        </w:rPr>
      </w:pPr>
      <w:r>
        <w:rPr>
          <w:rFonts w:hint="eastAsia" w:ascii="宋体" w:hAnsi="宋体" w:eastAsia="宋体" w:cs="宋体"/>
          <w:kern w:val="2"/>
          <w:sz w:val="32"/>
          <w:szCs w:val="32"/>
        </w:rPr>
        <w:t xml:space="preserve"> 我单位承诺：</w:t>
      </w:r>
      <w:r>
        <w:rPr>
          <w:rFonts w:hint="eastAsia" w:ascii="宋体" w:hAnsi="宋体" w:eastAsia="宋体" w:cs="宋体"/>
          <w:b/>
          <w:kern w:val="2"/>
          <w:sz w:val="32"/>
          <w:szCs w:val="32"/>
        </w:rPr>
        <w:t>将严格遵照《中华人民共和国民法典》、《中华人民共和国招标投标法》、《中华人民共和国政府采购法》、等有关法律法规及《招标公告》要求参与贵单位投标活动，若中标后将积极、善意履约合同，并接受城投公司供应商考核办法的约束，《招标公告》和《投标函》及相关文件将构成约束双方合同的一部分。</w:t>
      </w:r>
    </w:p>
    <w:p w14:paraId="708E1902">
      <w:pPr>
        <w:pStyle w:val="3"/>
        <w:spacing w:line="560" w:lineRule="exact"/>
        <w:ind w:firstLine="0"/>
        <w:rPr>
          <w:rFonts w:hint="eastAsia" w:ascii="宋体" w:hAnsi="宋体" w:eastAsia="宋体" w:cs="宋体"/>
          <w:kern w:val="2"/>
          <w:sz w:val="32"/>
          <w:szCs w:val="32"/>
        </w:rPr>
      </w:pPr>
    </w:p>
    <w:p w14:paraId="42492AB0">
      <w:pPr>
        <w:pStyle w:val="3"/>
        <w:spacing w:line="560" w:lineRule="exact"/>
        <w:ind w:firstLine="0"/>
        <w:rPr>
          <w:rFonts w:hint="eastAsia" w:ascii="宋体" w:hAnsi="宋体" w:eastAsia="宋体" w:cs="宋体"/>
          <w:kern w:val="2"/>
          <w:sz w:val="32"/>
          <w:szCs w:val="32"/>
        </w:rPr>
      </w:pPr>
    </w:p>
    <w:p w14:paraId="30122D37">
      <w:pPr>
        <w:pStyle w:val="3"/>
        <w:spacing w:line="560" w:lineRule="exact"/>
        <w:ind w:firstLine="0"/>
        <w:jc w:val="center"/>
        <w:rPr>
          <w:rFonts w:hint="eastAsia" w:ascii="宋体" w:hAnsi="宋体" w:eastAsia="宋体" w:cs="宋体"/>
          <w:kern w:val="2"/>
          <w:sz w:val="32"/>
          <w:szCs w:val="32"/>
        </w:rPr>
      </w:pPr>
      <w:r>
        <w:rPr>
          <w:rFonts w:hint="eastAsia" w:ascii="宋体" w:hAnsi="宋体" w:eastAsia="宋体" w:cs="宋体"/>
          <w:kern w:val="2"/>
          <w:sz w:val="32"/>
          <w:szCs w:val="32"/>
        </w:rPr>
        <w:t>投标人(盖公章)：</w:t>
      </w:r>
    </w:p>
    <w:p w14:paraId="4CB6EC40">
      <w:pPr>
        <w:spacing w:line="560" w:lineRule="exact"/>
        <w:jc w:val="center"/>
        <w:rPr>
          <w:rFonts w:hint="eastAsia" w:ascii="宋体" w:hAnsi="宋体" w:eastAsia="宋体" w:cs="宋体"/>
          <w:sz w:val="32"/>
          <w:szCs w:val="32"/>
        </w:rPr>
      </w:pPr>
      <w:r>
        <w:rPr>
          <w:rFonts w:hint="eastAsia" w:ascii="宋体" w:hAnsi="宋体" w:eastAsia="宋体" w:cs="宋体"/>
          <w:sz w:val="32"/>
          <w:szCs w:val="32"/>
        </w:rPr>
        <w:t>法定代表人签字：</w:t>
      </w:r>
    </w:p>
    <w:p w14:paraId="2371AE79">
      <w:pPr>
        <w:spacing w:line="560" w:lineRule="exact"/>
        <w:ind w:firstLine="3840" w:firstLineChars="1200"/>
        <w:rPr>
          <w:rFonts w:hint="eastAsia" w:ascii="宋体" w:hAnsi="宋体" w:eastAsia="宋体" w:cs="宋体"/>
          <w:sz w:val="32"/>
          <w:szCs w:val="32"/>
          <w:lang w:eastAsia="zh-CN"/>
        </w:rPr>
      </w:pPr>
      <w:r>
        <w:rPr>
          <w:rFonts w:hint="eastAsia" w:ascii="宋体" w:hAnsi="宋体" w:eastAsia="宋体" w:cs="宋体"/>
          <w:sz w:val="32"/>
          <w:szCs w:val="32"/>
        </w:rPr>
        <w:t>日</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期</w:t>
      </w:r>
      <w:r>
        <w:rPr>
          <w:rFonts w:hint="eastAsia" w:ascii="宋体" w:hAnsi="宋体" w:eastAsia="宋体" w:cs="宋体"/>
          <w:sz w:val="32"/>
          <w:szCs w:val="32"/>
          <w:lang w:eastAsia="zh-CN"/>
        </w:rPr>
        <w:t>：</w:t>
      </w:r>
    </w:p>
    <w:p w14:paraId="78E87BAF">
      <w:pPr>
        <w:rPr>
          <w:rFonts w:hint="eastAsia"/>
          <w:lang w:val="en-US" w:eastAsia="zh-CN"/>
        </w:rPr>
      </w:pPr>
    </w:p>
    <w:sectPr>
      <w:footerReference r:id="rId3" w:type="default"/>
      <w:footerReference r:id="rId4" w:type="even"/>
      <w:pgSz w:w="11906" w:h="16838"/>
      <w:pgMar w:top="1134" w:right="1247" w:bottom="1361"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600000000000000"/>
    <w:charset w:val="86"/>
    <w:family w:val="script"/>
    <w:pitch w:val="default"/>
    <w:sig w:usb0="00000000" w:usb1="00000000" w:usb2="00000012" w:usb3="00000000" w:csb0="00160001" w:csb1="1203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4791075</wp:posOffset>
              </wp:positionH>
              <wp:positionV relativeFrom="paragraph">
                <wp:posOffset>-170815</wp:posOffset>
              </wp:positionV>
              <wp:extent cx="835025" cy="2895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5025" cy="2895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77.25pt;margin-top:-13.45pt;height:22.8pt;width:65.75pt;mso-position-horizontal-relative:margin;z-index:251659264;mso-width-relative:page;mso-height-relative:page;" filled="f" stroked="f" coordsize="21600,21600" o:gfxdata="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9GQI2QAAAAoBAAAPAAAAAAAAAAEAIAAAACIAAABkcnMvZG93bnJl&#10;di54bWxQSwECFAAUAAAACACHTuJAJOsvWjUCAABhBAAADgAAAAAAAAABACAAAAAoAQAAZHJzL2Uy&#10;b0RvYy54bWxQSwUGAAAAAAYABgBZAQAAzwUAAAAA&#10;">
              <v:fill on="f" focussize="0,0"/>
              <v:stroke on="f" weight="0.5pt"/>
              <v:imagedata o:title=""/>
              <o:lock v:ext="edit" aspectratio="f"/>
              <v:textbox inset="0mm,0mm,0mm,0mm">
                <w:txbxContent>
                  <w:p w14:paraId="3CF6AFF1">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28575</wp:posOffset>
              </wp:positionH>
              <wp:positionV relativeFrom="paragraph">
                <wp:posOffset>-142240</wp:posOffset>
              </wp:positionV>
              <wp:extent cx="730250" cy="2514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0250" cy="2514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5pt;margin-top:-11.2pt;height:19.8pt;width:57.5pt;mso-position-horizontal-relative:margin;z-index:251660288;mso-width-relative:page;mso-height-relative:page;" filled="f" stroked="f" coordsize="21600,21600" o:gfxdata="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Sk6tcAAAAIAQAADwAAAAAAAAABACAAAAAiAAAAZHJzL2Rvd25yZXYu&#10;eG1sUEsBAhQAFAAAAAgAh07iQFKACdw1AgAAYQQAAA4AAAAAAAAAAQAgAAAAJgEAAGRycy9lMm9E&#10;b2MueG1sUEsFBgAAAAAGAAYAWQEAAM0FAAAAAA==&#10;">
              <v:fill on="f" focussize="0,0"/>
              <v:stroke on="f" weight="0.5pt"/>
              <v:imagedata o:title=""/>
              <o:lock v:ext="edit" aspectratio="f"/>
              <v:textbox inset="0mm,0mm,0mm,0mm">
                <w:txbxContent>
                  <w:p w14:paraId="76A784B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4699D"/>
    <w:rsid w:val="002777A1"/>
    <w:rsid w:val="010E1B2D"/>
    <w:rsid w:val="03525F75"/>
    <w:rsid w:val="04510922"/>
    <w:rsid w:val="04E86B91"/>
    <w:rsid w:val="05410997"/>
    <w:rsid w:val="06982838"/>
    <w:rsid w:val="06DA075B"/>
    <w:rsid w:val="07487DBA"/>
    <w:rsid w:val="08DB07BA"/>
    <w:rsid w:val="09475E50"/>
    <w:rsid w:val="0A73514E"/>
    <w:rsid w:val="0B5D79CA"/>
    <w:rsid w:val="0B892750"/>
    <w:rsid w:val="0C142961"/>
    <w:rsid w:val="0C47341A"/>
    <w:rsid w:val="0D205FC4"/>
    <w:rsid w:val="13517FF7"/>
    <w:rsid w:val="14A67B88"/>
    <w:rsid w:val="15B326F6"/>
    <w:rsid w:val="15F36738"/>
    <w:rsid w:val="168E50BE"/>
    <w:rsid w:val="1A197394"/>
    <w:rsid w:val="1A9529E3"/>
    <w:rsid w:val="1DA11B7B"/>
    <w:rsid w:val="1FCA0CB9"/>
    <w:rsid w:val="1FFD48A4"/>
    <w:rsid w:val="206E537F"/>
    <w:rsid w:val="20C95670"/>
    <w:rsid w:val="20CB3C95"/>
    <w:rsid w:val="214B2529"/>
    <w:rsid w:val="22544741"/>
    <w:rsid w:val="231B417D"/>
    <w:rsid w:val="242B6642"/>
    <w:rsid w:val="24651B54"/>
    <w:rsid w:val="285655EA"/>
    <w:rsid w:val="285B2563"/>
    <w:rsid w:val="293E6B3C"/>
    <w:rsid w:val="29883BEF"/>
    <w:rsid w:val="2C5F157F"/>
    <w:rsid w:val="2D4F514F"/>
    <w:rsid w:val="2D720F93"/>
    <w:rsid w:val="2E310CF9"/>
    <w:rsid w:val="2F0D3A24"/>
    <w:rsid w:val="2F544C9F"/>
    <w:rsid w:val="2FBE4905"/>
    <w:rsid w:val="30EF76EF"/>
    <w:rsid w:val="311C77D1"/>
    <w:rsid w:val="31CB29E3"/>
    <w:rsid w:val="31EF0CAF"/>
    <w:rsid w:val="33C00B55"/>
    <w:rsid w:val="34A2025B"/>
    <w:rsid w:val="34A86B43"/>
    <w:rsid w:val="34C401D1"/>
    <w:rsid w:val="34CA7825"/>
    <w:rsid w:val="352B46F4"/>
    <w:rsid w:val="358362DE"/>
    <w:rsid w:val="35BB5A78"/>
    <w:rsid w:val="3607767B"/>
    <w:rsid w:val="370034AF"/>
    <w:rsid w:val="3823305D"/>
    <w:rsid w:val="39423DBA"/>
    <w:rsid w:val="39DE1D35"/>
    <w:rsid w:val="3A9248CD"/>
    <w:rsid w:val="3ABD71D8"/>
    <w:rsid w:val="3B1E43B3"/>
    <w:rsid w:val="3C025A83"/>
    <w:rsid w:val="3C131A3E"/>
    <w:rsid w:val="3D2C725B"/>
    <w:rsid w:val="3DBB238D"/>
    <w:rsid w:val="3DC43A44"/>
    <w:rsid w:val="3F0C5F6A"/>
    <w:rsid w:val="40363F4D"/>
    <w:rsid w:val="410D4CAE"/>
    <w:rsid w:val="4114428E"/>
    <w:rsid w:val="415723CD"/>
    <w:rsid w:val="419F5D59"/>
    <w:rsid w:val="42B42B0F"/>
    <w:rsid w:val="439E42E3"/>
    <w:rsid w:val="4580730D"/>
    <w:rsid w:val="462B1299"/>
    <w:rsid w:val="46F106B3"/>
    <w:rsid w:val="46F72688"/>
    <w:rsid w:val="472E597E"/>
    <w:rsid w:val="477A6E15"/>
    <w:rsid w:val="479F10D3"/>
    <w:rsid w:val="48AB635E"/>
    <w:rsid w:val="48B819A3"/>
    <w:rsid w:val="48E24C72"/>
    <w:rsid w:val="49155047"/>
    <w:rsid w:val="49F7474D"/>
    <w:rsid w:val="49FB248F"/>
    <w:rsid w:val="4AF75215"/>
    <w:rsid w:val="4B9009B5"/>
    <w:rsid w:val="4BBC79FC"/>
    <w:rsid w:val="4C5900BC"/>
    <w:rsid w:val="4D6D4A0F"/>
    <w:rsid w:val="4DE65204"/>
    <w:rsid w:val="4F4E228A"/>
    <w:rsid w:val="4F806F93"/>
    <w:rsid w:val="4FD86DCF"/>
    <w:rsid w:val="4FD91D94"/>
    <w:rsid w:val="4FD95020"/>
    <w:rsid w:val="511E6A63"/>
    <w:rsid w:val="51EE28D9"/>
    <w:rsid w:val="537B63EF"/>
    <w:rsid w:val="570B7031"/>
    <w:rsid w:val="57E03CE2"/>
    <w:rsid w:val="57EE2775"/>
    <w:rsid w:val="5800522E"/>
    <w:rsid w:val="5852472D"/>
    <w:rsid w:val="58D5034F"/>
    <w:rsid w:val="5A4C63EF"/>
    <w:rsid w:val="5B10746E"/>
    <w:rsid w:val="5B4369AD"/>
    <w:rsid w:val="5B7F6220"/>
    <w:rsid w:val="5DD674B0"/>
    <w:rsid w:val="5DE75D58"/>
    <w:rsid w:val="5EDA6AB4"/>
    <w:rsid w:val="5F2428FC"/>
    <w:rsid w:val="5F9745B0"/>
    <w:rsid w:val="6062696C"/>
    <w:rsid w:val="61F430F4"/>
    <w:rsid w:val="61F62B25"/>
    <w:rsid w:val="639D5F0D"/>
    <w:rsid w:val="65C94D98"/>
    <w:rsid w:val="67696832"/>
    <w:rsid w:val="67F73E3E"/>
    <w:rsid w:val="68F4699D"/>
    <w:rsid w:val="69915C20"/>
    <w:rsid w:val="6ACB2D61"/>
    <w:rsid w:val="6AD14E93"/>
    <w:rsid w:val="6B9F6960"/>
    <w:rsid w:val="6D2716D5"/>
    <w:rsid w:val="6D8223FC"/>
    <w:rsid w:val="70184746"/>
    <w:rsid w:val="703B1992"/>
    <w:rsid w:val="72B55021"/>
    <w:rsid w:val="732B52E4"/>
    <w:rsid w:val="744C34E1"/>
    <w:rsid w:val="759108C9"/>
    <w:rsid w:val="768076F4"/>
    <w:rsid w:val="777F5120"/>
    <w:rsid w:val="79FC7092"/>
    <w:rsid w:val="7EB22415"/>
    <w:rsid w:val="7EFF7672"/>
    <w:rsid w:val="7F3233FD"/>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NormalCharacter"/>
    <w:qFormat/>
    <w:uiPriority w:val="99"/>
  </w:style>
  <w:style w:type="paragraph" w:customStyle="1" w:styleId="8">
    <w:name w:val="Heading1"/>
    <w:basedOn w:val="1"/>
    <w:next w:val="1"/>
    <w:qFormat/>
    <w:uiPriority w:val="0"/>
    <w:pPr>
      <w:keepNext/>
      <w:keepLines/>
      <w:spacing w:before="340" w:after="330" w:line="576" w:lineRule="auto"/>
      <w:textAlignment w:val="baseline"/>
    </w:pPr>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1301</Words>
  <Characters>1459</Characters>
  <Lines>0</Lines>
  <Paragraphs>0</Paragraphs>
  <TotalTime>6</TotalTime>
  <ScaleCrop>false</ScaleCrop>
  <LinksUpToDate>false</LinksUpToDate>
  <CharactersWithSpaces>1459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2025-09-23T06:43:00Z</dcterms:created>
  <dc:creator>tang</dc:creator>
  <cp:lastModifiedBy>1994</cp:lastModifiedBy>
  <dcterms:modified xsi:type="dcterms:W3CDTF">2025-12-01T11:42:43Z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CD5EF787AF1A43DFBDA499027DCEB7EA_11</vt:lpwstr>
  </property>
  <property fmtid="{D5CDD505-2E9C-101B-9397-08002B2CF9AE}" pid="4" name="KSOTemplateDocerSaveRecord">
    <vt:lpwstr>eyJoZGlkIjoiOTVhZGYzMTA1YTE4NjFmZTNiODZjNGM3ZWU2YmNhMjciLCJ1c2VySWQiOiIyMzk3ODg1OTIifQ==</vt:lpwstr>
  </property>
</Properties>
</file>