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B9AF8">
      <w:pPr>
        <w:jc w:val="center"/>
        <w:rPr>
          <w:rFonts w:hint="eastAsia" w:ascii="宋体" w:hAnsi="宋体" w:eastAsia="宋体" w:cs="宋体"/>
          <w:b/>
          <w:color w:val="auto"/>
          <w:spacing w:val="20"/>
          <w:sz w:val="44"/>
          <w:highlight w:val="none"/>
        </w:rPr>
      </w:pPr>
    </w:p>
    <w:p w14:paraId="775CAE81">
      <w:pPr>
        <w:jc w:val="center"/>
        <w:rPr>
          <w:rFonts w:hint="eastAsia" w:ascii="宋体" w:hAnsi="宋体" w:eastAsia="宋体" w:cs="宋体"/>
          <w:b/>
          <w:color w:val="auto"/>
          <w:spacing w:val="20"/>
          <w:sz w:val="44"/>
          <w:highlight w:val="none"/>
        </w:rPr>
      </w:pPr>
      <w:r>
        <w:rPr>
          <w:rFonts w:hint="eastAsia" w:ascii="宋体" w:hAnsi="宋体" w:eastAsia="宋体" w:cs="宋体"/>
          <w:b/>
          <w:color w:val="auto"/>
          <w:spacing w:val="20"/>
          <w:sz w:val="44"/>
          <w:highlight w:val="none"/>
        </w:rPr>
        <w:t xml:space="preserve"> </w:t>
      </w:r>
    </w:p>
    <w:p w14:paraId="518AD0F4">
      <w:pPr>
        <w:jc w:val="center"/>
        <w:rPr>
          <w:rFonts w:hint="eastAsia" w:ascii="宋体" w:hAnsi="宋体" w:eastAsia="宋体" w:cs="宋体"/>
          <w:b/>
          <w:color w:val="auto"/>
          <w:spacing w:val="-6"/>
          <w:sz w:val="44"/>
          <w:highlight w:val="none"/>
          <w:lang w:val="en-US" w:eastAsia="zh-CN"/>
        </w:rPr>
      </w:pPr>
      <w:r>
        <w:rPr>
          <w:rFonts w:hint="eastAsia" w:ascii="宋体" w:hAnsi="宋体" w:cs="宋体"/>
          <w:b/>
          <w:color w:val="auto"/>
          <w:spacing w:val="-6"/>
          <w:sz w:val="44"/>
          <w:highlight w:val="none"/>
          <w:lang w:val="en-US" w:eastAsia="zh-CN"/>
        </w:rPr>
        <w:t>启东市洋吕铁路安置房（东区）二次供水泵房一标段（设备采购及安装项目）</w:t>
      </w:r>
    </w:p>
    <w:p w14:paraId="79740604">
      <w:pPr>
        <w:jc w:val="both"/>
        <w:rPr>
          <w:rFonts w:hint="eastAsia" w:ascii="宋体" w:hAnsi="宋体" w:eastAsia="宋体" w:cs="宋体"/>
          <w:color w:val="auto"/>
          <w:highlight w:val="none"/>
          <w:lang w:val="en-US" w:eastAsia="zh-CN"/>
        </w:rPr>
      </w:pPr>
      <w:r>
        <w:rPr>
          <w:rFonts w:hint="eastAsia" w:ascii="宋体" w:hAnsi="宋体" w:eastAsia="宋体" w:cs="宋体"/>
          <w:b/>
          <w:color w:val="auto"/>
          <w:spacing w:val="20"/>
          <w:sz w:val="44"/>
          <w:highlight w:val="none"/>
          <w:lang w:val="en-US" w:eastAsia="zh-CN"/>
        </w:rPr>
        <w:t xml:space="preserve">                                                                                                                                                                                 </w:t>
      </w:r>
    </w:p>
    <w:p w14:paraId="74703D3A">
      <w:pPr>
        <w:jc w:val="both"/>
        <w:rPr>
          <w:rFonts w:hint="eastAsia" w:ascii="宋体" w:hAnsi="宋体" w:eastAsia="宋体" w:cs="宋体"/>
          <w:b/>
          <w:color w:val="auto"/>
          <w:spacing w:val="20"/>
          <w:sz w:val="44"/>
          <w:highlight w:val="none"/>
        </w:rPr>
      </w:pPr>
    </w:p>
    <w:p w14:paraId="5DD77EAF">
      <w:pPr>
        <w:pStyle w:val="3"/>
        <w:rPr>
          <w:rFonts w:hint="eastAsia" w:ascii="宋体" w:hAnsi="宋体" w:eastAsia="宋体" w:cs="宋体"/>
          <w:color w:val="auto"/>
          <w:highlight w:val="none"/>
        </w:rPr>
      </w:pPr>
    </w:p>
    <w:p w14:paraId="4EFB97A1">
      <w:pPr>
        <w:jc w:val="both"/>
        <w:rPr>
          <w:rFonts w:hint="eastAsia" w:ascii="宋体" w:hAnsi="宋体" w:eastAsia="宋体" w:cs="宋体"/>
          <w:b/>
          <w:color w:val="auto"/>
          <w:spacing w:val="20"/>
          <w:sz w:val="44"/>
          <w:highlight w:val="none"/>
        </w:rPr>
      </w:pPr>
    </w:p>
    <w:p w14:paraId="2930ED44">
      <w:pPr>
        <w:jc w:val="center"/>
        <w:rPr>
          <w:rFonts w:hint="eastAsia" w:ascii="宋体" w:hAnsi="宋体" w:eastAsia="宋体" w:cs="宋体"/>
          <w:b/>
          <w:color w:val="auto"/>
          <w:sz w:val="100"/>
          <w:szCs w:val="100"/>
          <w:highlight w:val="none"/>
        </w:rPr>
      </w:pPr>
      <w:r>
        <w:rPr>
          <w:rFonts w:hint="eastAsia" w:ascii="宋体" w:hAnsi="宋体" w:eastAsia="宋体" w:cs="宋体"/>
          <w:b/>
          <w:bCs/>
          <w:color w:val="auto"/>
          <w:sz w:val="100"/>
          <w:szCs w:val="100"/>
          <w:highlight w:val="none"/>
          <w:lang w:val="zh-CN"/>
        </w:rPr>
        <w:t>采购询价文件</w:t>
      </w:r>
    </w:p>
    <w:p w14:paraId="4C522217">
      <w:pPr>
        <w:keepNext/>
        <w:spacing w:line="500" w:lineRule="exact"/>
        <w:jc w:val="center"/>
        <w:outlineLvl w:val="5"/>
        <w:rPr>
          <w:rFonts w:hint="eastAsia" w:ascii="宋体" w:hAnsi="宋体" w:eastAsia="宋体" w:cs="宋体"/>
          <w:b/>
          <w:color w:val="auto"/>
          <w:kern w:val="0"/>
          <w:sz w:val="44"/>
          <w:szCs w:val="20"/>
          <w:highlight w:val="none"/>
        </w:rPr>
      </w:pPr>
    </w:p>
    <w:p w14:paraId="5A9FDD7A">
      <w:pPr>
        <w:keepNext/>
        <w:spacing w:line="500" w:lineRule="exact"/>
        <w:jc w:val="center"/>
        <w:outlineLvl w:val="5"/>
        <w:rPr>
          <w:rFonts w:hint="eastAsia" w:ascii="宋体" w:hAnsi="宋体" w:eastAsia="宋体" w:cs="宋体"/>
          <w:b/>
          <w:color w:val="auto"/>
          <w:kern w:val="0"/>
          <w:sz w:val="36"/>
          <w:szCs w:val="36"/>
          <w:highlight w:val="none"/>
        </w:rPr>
      </w:pPr>
    </w:p>
    <w:p w14:paraId="4CB9B914">
      <w:pPr>
        <w:spacing w:line="500" w:lineRule="exact"/>
        <w:jc w:val="center"/>
        <w:rPr>
          <w:rFonts w:hint="eastAsia" w:ascii="宋体" w:hAnsi="宋体" w:eastAsia="宋体" w:cs="宋体"/>
          <w:b/>
          <w:color w:val="auto"/>
          <w:sz w:val="36"/>
          <w:highlight w:val="none"/>
        </w:rPr>
      </w:pPr>
    </w:p>
    <w:p w14:paraId="7E11BD5C">
      <w:pPr>
        <w:spacing w:line="500" w:lineRule="exact"/>
        <w:jc w:val="center"/>
        <w:rPr>
          <w:rFonts w:hint="eastAsia" w:ascii="宋体" w:hAnsi="宋体" w:eastAsia="宋体" w:cs="宋体"/>
          <w:b/>
          <w:color w:val="auto"/>
          <w:sz w:val="36"/>
          <w:highlight w:val="none"/>
        </w:rPr>
      </w:pPr>
    </w:p>
    <w:p w14:paraId="5940970D">
      <w:pPr>
        <w:spacing w:line="500" w:lineRule="exact"/>
        <w:jc w:val="center"/>
        <w:rPr>
          <w:rFonts w:hint="eastAsia" w:ascii="宋体" w:hAnsi="宋体" w:eastAsia="宋体" w:cs="宋体"/>
          <w:b/>
          <w:color w:val="auto"/>
          <w:sz w:val="36"/>
          <w:highlight w:val="none"/>
        </w:rPr>
      </w:pPr>
    </w:p>
    <w:p w14:paraId="6ED2F6E5">
      <w:pPr>
        <w:spacing w:line="500" w:lineRule="exact"/>
        <w:rPr>
          <w:rFonts w:hint="eastAsia" w:ascii="宋体" w:hAnsi="宋体" w:eastAsia="宋体" w:cs="宋体"/>
          <w:color w:val="auto"/>
          <w:highlight w:val="none"/>
        </w:rPr>
      </w:pPr>
    </w:p>
    <w:p w14:paraId="7D44FC26">
      <w:pPr>
        <w:pStyle w:val="3"/>
        <w:rPr>
          <w:rFonts w:hint="eastAsia" w:ascii="宋体" w:hAnsi="宋体" w:eastAsia="宋体" w:cs="宋体"/>
          <w:color w:val="auto"/>
          <w:highlight w:val="none"/>
        </w:rPr>
      </w:pPr>
    </w:p>
    <w:p w14:paraId="1822344F">
      <w:pPr>
        <w:spacing w:line="500" w:lineRule="exact"/>
        <w:jc w:val="both"/>
        <w:rPr>
          <w:rFonts w:hint="eastAsia" w:ascii="宋体" w:hAnsi="宋体" w:eastAsia="宋体" w:cs="宋体"/>
          <w:color w:val="auto"/>
          <w:sz w:val="32"/>
          <w:highlight w:val="none"/>
        </w:rPr>
      </w:pPr>
    </w:p>
    <w:p w14:paraId="1A6E4EC2">
      <w:pPr>
        <w:spacing w:line="500" w:lineRule="exact"/>
        <w:jc w:val="center"/>
        <w:rPr>
          <w:rFonts w:hint="eastAsia" w:ascii="宋体" w:hAnsi="宋体" w:eastAsia="宋体" w:cs="宋体"/>
          <w:color w:val="auto"/>
          <w:sz w:val="32"/>
          <w:highlight w:val="none"/>
        </w:rPr>
      </w:pPr>
    </w:p>
    <w:p w14:paraId="613D05F8">
      <w:pPr>
        <w:adjustRightInd w:val="0"/>
        <w:spacing w:before="120" w:after="120" w:line="500" w:lineRule="exact"/>
        <w:ind w:left="-2" w:right="120"/>
        <w:jc w:val="center"/>
        <w:textAlignment w:val="baseline"/>
        <w:rPr>
          <w:rFonts w:hint="eastAsia" w:ascii="宋体" w:hAnsi="宋体" w:eastAsia="宋体" w:cs="宋体"/>
          <w:b/>
          <w:color w:val="auto"/>
          <w:spacing w:val="20"/>
          <w:sz w:val="36"/>
          <w:szCs w:val="36"/>
          <w:highlight w:val="none"/>
          <w:lang w:val="en-US" w:eastAsia="zh-CN"/>
        </w:rPr>
      </w:pPr>
      <w:r>
        <w:rPr>
          <w:rFonts w:hint="eastAsia" w:ascii="宋体" w:hAnsi="宋体" w:cs="宋体"/>
          <w:b/>
          <w:color w:val="auto"/>
          <w:spacing w:val="20"/>
          <w:sz w:val="36"/>
          <w:szCs w:val="36"/>
          <w:highlight w:val="none"/>
          <w:lang w:val="en-US" w:eastAsia="zh-CN"/>
        </w:rPr>
        <w:t>启东市吕四自来水厂有限公司</w:t>
      </w:r>
    </w:p>
    <w:p w14:paraId="398A62B5">
      <w:pPr>
        <w:adjustRightInd w:val="0"/>
        <w:spacing w:before="120" w:after="120" w:line="500" w:lineRule="exact"/>
        <w:ind w:left="-2" w:right="120"/>
        <w:jc w:val="center"/>
        <w:textAlignment w:val="baseline"/>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u w:val="single"/>
          <w:lang w:val="en-US" w:eastAsia="zh-CN"/>
        </w:rPr>
        <w:t xml:space="preserve"> 202</w:t>
      </w:r>
      <w:r>
        <w:rPr>
          <w:rFonts w:hint="eastAsia" w:ascii="宋体" w:hAnsi="宋体" w:cs="宋体"/>
          <w:b/>
          <w:bCs/>
          <w:color w:val="auto"/>
          <w:kern w:val="0"/>
          <w:sz w:val="36"/>
          <w:szCs w:val="36"/>
          <w:highlight w:val="none"/>
          <w:u w:val="single"/>
          <w:lang w:val="en-US" w:eastAsia="zh-CN"/>
        </w:rPr>
        <w:t>5</w:t>
      </w:r>
      <w:r>
        <w:rPr>
          <w:rFonts w:hint="eastAsia" w:ascii="宋体" w:hAnsi="宋体" w:eastAsia="宋体" w:cs="宋体"/>
          <w:b/>
          <w:bCs/>
          <w:color w:val="auto"/>
          <w:kern w:val="0"/>
          <w:sz w:val="36"/>
          <w:szCs w:val="36"/>
          <w:highlight w:val="none"/>
          <w:u w:val="single"/>
          <w:lang w:val="en-US" w:eastAsia="zh-CN"/>
        </w:rPr>
        <w:t xml:space="preserve"> </w:t>
      </w:r>
      <w:r>
        <w:rPr>
          <w:rFonts w:hint="eastAsia" w:ascii="宋体" w:hAnsi="宋体" w:eastAsia="宋体" w:cs="宋体"/>
          <w:b/>
          <w:bCs/>
          <w:color w:val="auto"/>
          <w:kern w:val="0"/>
          <w:sz w:val="36"/>
          <w:szCs w:val="36"/>
          <w:highlight w:val="none"/>
        </w:rPr>
        <w:t>年</w:t>
      </w:r>
      <w:r>
        <w:rPr>
          <w:rFonts w:hint="eastAsia" w:ascii="宋体" w:hAnsi="宋体" w:eastAsia="宋体" w:cs="宋体"/>
          <w:b/>
          <w:bCs/>
          <w:color w:val="auto"/>
          <w:kern w:val="0"/>
          <w:sz w:val="36"/>
          <w:szCs w:val="36"/>
          <w:highlight w:val="none"/>
          <w:u w:val="single"/>
          <w:lang w:val="en-US" w:eastAsia="zh-CN"/>
        </w:rPr>
        <w:t xml:space="preserve"> </w:t>
      </w:r>
      <w:r>
        <w:rPr>
          <w:rFonts w:hint="eastAsia" w:ascii="宋体" w:hAnsi="宋体" w:cs="宋体"/>
          <w:b/>
          <w:bCs/>
          <w:color w:val="auto"/>
          <w:kern w:val="0"/>
          <w:sz w:val="36"/>
          <w:szCs w:val="36"/>
          <w:highlight w:val="none"/>
          <w:u w:val="single"/>
          <w:lang w:val="en-US" w:eastAsia="zh-CN"/>
        </w:rPr>
        <w:t xml:space="preserve"> 9</w:t>
      </w:r>
      <w:r>
        <w:rPr>
          <w:rFonts w:hint="eastAsia" w:ascii="宋体" w:hAnsi="宋体" w:eastAsia="宋体" w:cs="宋体"/>
          <w:b/>
          <w:bCs/>
          <w:color w:val="auto"/>
          <w:kern w:val="0"/>
          <w:sz w:val="36"/>
          <w:szCs w:val="36"/>
          <w:highlight w:val="none"/>
          <w:u w:val="single"/>
          <w:lang w:val="en-US" w:eastAsia="zh-CN"/>
        </w:rPr>
        <w:t xml:space="preserve"> </w:t>
      </w:r>
      <w:r>
        <w:rPr>
          <w:rFonts w:hint="eastAsia" w:ascii="宋体" w:hAnsi="宋体" w:eastAsia="宋体" w:cs="宋体"/>
          <w:b/>
          <w:bCs/>
          <w:color w:val="auto"/>
          <w:kern w:val="0"/>
          <w:sz w:val="36"/>
          <w:szCs w:val="36"/>
          <w:highlight w:val="none"/>
        </w:rPr>
        <w:t>月</w:t>
      </w:r>
      <w:r>
        <w:rPr>
          <w:rFonts w:hint="eastAsia" w:ascii="宋体" w:hAnsi="宋体" w:eastAsia="宋体" w:cs="宋体"/>
          <w:b/>
          <w:bCs/>
          <w:color w:val="auto"/>
          <w:kern w:val="0"/>
          <w:sz w:val="36"/>
          <w:szCs w:val="36"/>
          <w:highlight w:val="none"/>
          <w:u w:val="single"/>
          <w:lang w:val="en-US" w:eastAsia="zh-CN"/>
        </w:rPr>
        <w:t xml:space="preserve"> </w:t>
      </w:r>
      <w:r>
        <w:rPr>
          <w:rFonts w:hint="eastAsia" w:ascii="宋体" w:hAnsi="宋体" w:cs="宋体"/>
          <w:b/>
          <w:bCs/>
          <w:color w:val="auto"/>
          <w:kern w:val="0"/>
          <w:sz w:val="36"/>
          <w:szCs w:val="36"/>
          <w:highlight w:val="none"/>
          <w:u w:val="single"/>
          <w:lang w:val="en-US" w:eastAsia="zh-CN"/>
        </w:rPr>
        <w:t xml:space="preserve">12 </w:t>
      </w:r>
      <w:r>
        <w:rPr>
          <w:rFonts w:hint="eastAsia" w:ascii="宋体" w:hAnsi="宋体" w:eastAsia="宋体" w:cs="宋体"/>
          <w:b/>
          <w:bCs/>
          <w:color w:val="auto"/>
          <w:kern w:val="0"/>
          <w:sz w:val="36"/>
          <w:szCs w:val="36"/>
          <w:highlight w:val="none"/>
        </w:rPr>
        <w:t>日</w:t>
      </w:r>
    </w:p>
    <w:p w14:paraId="77EFCB15">
      <w:pPr>
        <w:adjustRightInd w:val="0"/>
        <w:snapToGrid w:val="0"/>
        <w:spacing w:line="500" w:lineRule="exact"/>
        <w:ind w:left="-158" w:leftChars="-75"/>
        <w:rPr>
          <w:rFonts w:hint="eastAsia" w:ascii="宋体" w:hAnsi="宋体" w:eastAsia="宋体" w:cs="宋体"/>
          <w:b/>
          <w:snapToGrid w:val="0"/>
          <w:color w:val="auto"/>
          <w:sz w:val="26"/>
          <w:szCs w:val="28"/>
          <w:highlight w:val="none"/>
          <w:u w:val="single"/>
        </w:rPr>
      </w:pPr>
    </w:p>
    <w:p w14:paraId="7C045140">
      <w:pPr>
        <w:adjustRightInd w:val="0"/>
        <w:snapToGrid w:val="0"/>
        <w:spacing w:line="500" w:lineRule="exact"/>
        <w:ind w:left="-158" w:leftChars="-75"/>
        <w:rPr>
          <w:rFonts w:hint="eastAsia" w:ascii="宋体" w:hAnsi="宋体" w:eastAsia="宋体" w:cs="宋体"/>
          <w:b/>
          <w:snapToGrid w:val="0"/>
          <w:color w:val="auto"/>
          <w:sz w:val="26"/>
          <w:szCs w:val="28"/>
          <w:highlight w:val="none"/>
          <w:u w:val="single"/>
          <w:lang w:val="en-US" w:eastAsia="zh-CN"/>
        </w:rPr>
      </w:pPr>
      <w:r>
        <w:rPr>
          <w:rFonts w:hint="eastAsia" w:ascii="宋体" w:hAnsi="宋体" w:eastAsia="宋体" w:cs="宋体"/>
          <w:b/>
          <w:snapToGrid w:val="0"/>
          <w:color w:val="auto"/>
          <w:sz w:val="26"/>
          <w:szCs w:val="28"/>
          <w:highlight w:val="none"/>
          <w:u w:val="single"/>
        </w:rPr>
        <w:t xml:space="preserve">                                    </w:t>
      </w:r>
      <w:r>
        <w:rPr>
          <w:rFonts w:hint="eastAsia" w:ascii="宋体" w:hAnsi="宋体" w:eastAsia="宋体" w:cs="宋体"/>
          <w:b/>
          <w:snapToGrid w:val="0"/>
          <w:color w:val="auto"/>
          <w:sz w:val="26"/>
          <w:szCs w:val="28"/>
          <w:highlight w:val="none"/>
          <w:u w:val="single"/>
          <w:lang w:val="en-US" w:eastAsia="zh-CN"/>
        </w:rPr>
        <w:t xml:space="preserve">    </w:t>
      </w:r>
      <w:r>
        <w:rPr>
          <w:rFonts w:hint="eastAsia" w:ascii="宋体" w:hAnsi="宋体" w:eastAsia="宋体" w:cs="宋体"/>
          <w:b/>
          <w:snapToGrid w:val="0"/>
          <w:color w:val="auto"/>
          <w:sz w:val="26"/>
          <w:szCs w:val="28"/>
          <w:highlight w:val="none"/>
          <w:u w:val="single"/>
        </w:rPr>
        <w:t xml:space="preserve">                </w:t>
      </w:r>
      <w:r>
        <w:rPr>
          <w:rFonts w:hint="eastAsia" w:ascii="宋体" w:hAnsi="宋体" w:eastAsia="宋体" w:cs="宋体"/>
          <w:b/>
          <w:snapToGrid w:val="0"/>
          <w:color w:val="auto"/>
          <w:sz w:val="26"/>
          <w:szCs w:val="28"/>
          <w:highlight w:val="none"/>
          <w:u w:val="single"/>
          <w:lang w:val="en-US" w:eastAsia="zh-CN"/>
        </w:rPr>
        <w:t xml:space="preserve">            </w:t>
      </w:r>
    </w:p>
    <w:p w14:paraId="01E3BB72">
      <w:pPr>
        <w:adjustRightInd w:val="0"/>
        <w:snapToGrid w:val="0"/>
        <w:ind w:left="-158" w:leftChars="-75"/>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lang w:eastAsia="zh-CN"/>
        </w:rPr>
        <w:t>地址:</w:t>
      </w:r>
      <w:r>
        <w:rPr>
          <w:rFonts w:hint="eastAsia" w:ascii="宋体" w:hAnsi="宋体" w:cs="宋体"/>
          <w:b/>
          <w:snapToGrid w:val="0"/>
          <w:color w:val="auto"/>
          <w:sz w:val="28"/>
          <w:szCs w:val="28"/>
          <w:highlight w:val="none"/>
          <w:lang w:eastAsia="zh-CN"/>
        </w:rPr>
        <w:t>启东市吕四港镇环城北路628号</w:t>
      </w:r>
      <w:r>
        <w:rPr>
          <w:rFonts w:hint="eastAsia" w:ascii="宋体" w:hAnsi="宋体" w:eastAsia="宋体" w:cs="宋体"/>
          <w:b/>
          <w:snapToGrid w:val="0"/>
          <w:color w:val="auto"/>
          <w:sz w:val="28"/>
          <w:szCs w:val="28"/>
          <w:highlight w:val="none"/>
          <w:lang w:val="en-US" w:eastAsia="zh-CN"/>
        </w:rPr>
        <w:t xml:space="preserve">            </w:t>
      </w:r>
      <w:r>
        <w:rPr>
          <w:rFonts w:hint="eastAsia" w:ascii="宋体" w:hAnsi="宋体" w:eastAsia="宋体" w:cs="宋体"/>
          <w:b/>
          <w:snapToGrid w:val="0"/>
          <w:color w:val="auto"/>
          <w:sz w:val="28"/>
          <w:szCs w:val="28"/>
          <w:highlight w:val="none"/>
          <w:lang w:eastAsia="zh-CN"/>
        </w:rPr>
        <w:t xml:space="preserve">邮政编码：226200 </w:t>
      </w:r>
      <w:r>
        <w:rPr>
          <w:rFonts w:hint="eastAsia" w:ascii="宋体" w:hAnsi="宋体" w:eastAsia="宋体" w:cs="宋体"/>
          <w:b/>
          <w:snapToGrid w:val="0"/>
          <w:color w:val="auto"/>
          <w:sz w:val="28"/>
          <w:szCs w:val="28"/>
          <w:highlight w:val="none"/>
        </w:rPr>
        <w:t xml:space="preserve">       </w:t>
      </w:r>
    </w:p>
    <w:p w14:paraId="1ACCD24F">
      <w:pPr>
        <w:adjustRightInd w:val="0"/>
        <w:snapToGrid w:val="0"/>
        <w:ind w:left="-158" w:leftChars="-75"/>
        <w:rPr>
          <w:rFonts w:hint="eastAsia" w:ascii="宋体" w:hAnsi="宋体" w:eastAsia="宋体" w:cs="宋体"/>
          <w:bCs/>
          <w:color w:val="auto"/>
          <w:spacing w:val="7"/>
          <w:kern w:val="0"/>
          <w:sz w:val="44"/>
          <w:szCs w:val="44"/>
          <w:highlight w:val="none"/>
        </w:rPr>
      </w:pPr>
      <w:r>
        <w:rPr>
          <w:rFonts w:hint="eastAsia" w:ascii="宋体" w:hAnsi="宋体" w:eastAsia="宋体" w:cs="宋体"/>
          <w:b/>
          <w:snapToGrid w:val="0"/>
          <w:color w:val="auto"/>
          <w:sz w:val="28"/>
          <w:szCs w:val="28"/>
          <w:highlight w:val="none"/>
        </w:rPr>
        <w:t>网址:</w:t>
      </w:r>
      <w:r>
        <w:rPr>
          <w:rFonts w:hint="eastAsia" w:ascii="宋体" w:hAnsi="宋体" w:cs="宋体"/>
          <w:b/>
          <w:snapToGrid w:val="0"/>
          <w:color w:val="auto"/>
          <w:sz w:val="28"/>
          <w:szCs w:val="28"/>
          <w:highlight w:val="none"/>
          <w:lang w:eastAsia="zh-CN"/>
        </w:rPr>
        <w:t>启东市吕四自来水厂有限公司（https://www.qdlszlsc.com）</w:t>
      </w:r>
      <w:r>
        <w:rPr>
          <w:rFonts w:hint="eastAsia" w:ascii="宋体" w:hAnsi="宋体" w:eastAsia="宋体" w:cs="宋体"/>
          <w:bCs/>
          <w:color w:val="auto"/>
          <w:spacing w:val="7"/>
          <w:kern w:val="0"/>
          <w:sz w:val="44"/>
          <w:szCs w:val="44"/>
          <w:highlight w:val="none"/>
        </w:rPr>
        <w:br w:type="page"/>
      </w:r>
    </w:p>
    <w:p w14:paraId="4C557D5D">
      <w:pPr>
        <w:tabs>
          <w:tab w:val="left" w:pos="1260"/>
        </w:tabs>
        <w:adjustRightInd w:val="0"/>
        <w:snapToGrid w:val="0"/>
        <w:spacing w:line="312" w:lineRule="auto"/>
        <w:ind w:left="-158" w:leftChars="-75" w:right="-601" w:rightChars="-286"/>
        <w:jc w:val="center"/>
        <w:rPr>
          <w:rFonts w:hint="eastAsia" w:ascii="宋体" w:hAnsi="宋体" w:eastAsia="宋体" w:cs="宋体"/>
          <w:bCs/>
          <w:color w:val="auto"/>
          <w:spacing w:val="7"/>
          <w:kern w:val="0"/>
          <w:sz w:val="44"/>
          <w:szCs w:val="44"/>
          <w:highlight w:val="none"/>
        </w:rPr>
      </w:pPr>
      <w:r>
        <w:rPr>
          <w:rFonts w:hint="eastAsia" w:ascii="宋体" w:hAnsi="宋体" w:eastAsia="宋体" w:cs="宋体"/>
          <w:bCs/>
          <w:color w:val="auto"/>
          <w:spacing w:val="7"/>
          <w:kern w:val="0"/>
          <w:sz w:val="44"/>
          <w:szCs w:val="44"/>
          <w:highlight w:val="none"/>
        </w:rPr>
        <w:t>目录</w:t>
      </w:r>
    </w:p>
    <w:p w14:paraId="06B73A32">
      <w:pPr>
        <w:autoSpaceDE w:val="0"/>
        <w:autoSpaceDN w:val="0"/>
        <w:adjustRightInd w:val="0"/>
        <w:snapToGrid w:val="0"/>
        <w:spacing w:line="360" w:lineRule="auto"/>
        <w:rPr>
          <w:rFonts w:hint="eastAsia" w:ascii="宋体" w:hAnsi="宋体" w:eastAsia="宋体" w:cs="宋体"/>
          <w:bCs/>
          <w:color w:val="auto"/>
          <w:spacing w:val="7"/>
          <w:kern w:val="0"/>
          <w:sz w:val="28"/>
          <w:szCs w:val="28"/>
          <w:highlight w:val="none"/>
        </w:rPr>
      </w:pPr>
    </w:p>
    <w:p w14:paraId="3E4048BC">
      <w:pPr>
        <w:pStyle w:val="3"/>
        <w:adjustRightInd w:val="0"/>
        <w:snapToGrid w:val="0"/>
        <w:spacing w:after="0" w:line="360" w:lineRule="auto"/>
        <w:rPr>
          <w:rFonts w:hint="eastAsia" w:ascii="宋体" w:hAnsi="宋体" w:eastAsia="宋体" w:cs="宋体"/>
          <w:color w:val="auto"/>
          <w:highlight w:val="none"/>
        </w:rPr>
      </w:pPr>
    </w:p>
    <w:p w14:paraId="43333375">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第一部分  询价采购公告</w:t>
      </w:r>
    </w:p>
    <w:p w14:paraId="1E49DD35">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第二部分  响应须知</w:t>
      </w:r>
    </w:p>
    <w:p w14:paraId="12B7FB98">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第三部分  项目需求</w:t>
      </w:r>
    </w:p>
    <w:p w14:paraId="373BB8AE">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第四部分  响应文件格式</w:t>
      </w:r>
    </w:p>
    <w:p w14:paraId="0928C979">
      <w:pPr>
        <w:autoSpaceDE w:val="0"/>
        <w:autoSpaceDN w:val="0"/>
        <w:adjustRightInd w:val="0"/>
        <w:snapToGrid w:val="0"/>
        <w:spacing w:line="500" w:lineRule="exact"/>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pacing w:val="7"/>
          <w:kern w:val="0"/>
          <w:sz w:val="28"/>
          <w:szCs w:val="28"/>
          <w:highlight w:val="none"/>
        </w:rPr>
        <w:br w:type="page"/>
      </w:r>
      <w:bookmarkStart w:id="0" w:name="OLE_LINK1"/>
      <w:bookmarkStart w:id="1" w:name="OLE_LINK5"/>
      <w:bookmarkStart w:id="2" w:name="OLE_LINK6"/>
      <w:bookmarkStart w:id="3" w:name="OLE_LINK2"/>
      <w:bookmarkStart w:id="4" w:name="OLE_LINK3"/>
      <w:r>
        <w:rPr>
          <w:rFonts w:hint="eastAsia" w:ascii="宋体" w:hAnsi="宋体" w:eastAsia="宋体" w:cs="宋体"/>
          <w:color w:val="auto"/>
          <w:sz w:val="36"/>
          <w:szCs w:val="36"/>
          <w:highlight w:val="none"/>
          <w:lang w:val="zh-CN"/>
        </w:rPr>
        <w:t>第一部分  询价采购公告</w:t>
      </w:r>
    </w:p>
    <w:p w14:paraId="7CC5EDC3">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受[</w:t>
      </w:r>
      <w:r>
        <w:rPr>
          <w:rFonts w:hint="eastAsia" w:ascii="宋体" w:hAnsi="宋体" w:cs="宋体"/>
          <w:color w:val="auto"/>
          <w:sz w:val="28"/>
          <w:szCs w:val="28"/>
          <w:highlight w:val="none"/>
          <w:lang w:val="en-US" w:eastAsia="zh-CN"/>
        </w:rPr>
        <w:t>启东市吕四自来水厂有限公司</w:t>
      </w:r>
      <w:r>
        <w:rPr>
          <w:rFonts w:hint="eastAsia" w:ascii="宋体" w:hAnsi="宋体" w:eastAsia="宋体" w:cs="宋体"/>
          <w:color w:val="auto"/>
          <w:sz w:val="28"/>
          <w:szCs w:val="28"/>
          <w:highlight w:val="none"/>
        </w:rPr>
        <w:t>]的委托，</w:t>
      </w:r>
      <w:r>
        <w:rPr>
          <w:rFonts w:hint="eastAsia" w:ascii="宋体" w:hAnsi="宋体" w:eastAsia="宋体" w:cs="宋体"/>
          <w:color w:val="auto"/>
          <w:sz w:val="28"/>
          <w:szCs w:val="28"/>
          <w:highlight w:val="none"/>
          <w:lang w:val="en-US" w:eastAsia="zh-CN"/>
        </w:rPr>
        <w:t>就[</w:t>
      </w:r>
      <w:r>
        <w:rPr>
          <w:rFonts w:hint="eastAsia" w:ascii="宋体" w:hAnsi="宋体" w:cs="宋体"/>
          <w:color w:val="auto"/>
          <w:sz w:val="28"/>
          <w:szCs w:val="28"/>
          <w:highlight w:val="none"/>
          <w:lang w:val="en-US" w:eastAsia="zh-CN"/>
        </w:rPr>
        <w:t>启东市洋吕铁路安置房（东区）二次供水泵房一标段（设备采购及安装项目）</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进行询价采购，欢迎符合条件的供应商响应。</w:t>
      </w:r>
    </w:p>
    <w:p w14:paraId="503F44A1">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14:paraId="2638B8D2">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启东市洋吕铁路安置房（东区）二次供水泵房一标段（设备采购及安装项目）</w:t>
      </w:r>
      <w:r>
        <w:rPr>
          <w:rFonts w:hint="eastAsia" w:ascii="宋体" w:hAnsi="宋体" w:eastAsia="宋体" w:cs="宋体"/>
          <w:color w:val="auto"/>
          <w:sz w:val="28"/>
          <w:szCs w:val="28"/>
          <w:highlight w:val="none"/>
        </w:rPr>
        <w:t>]的潜在响应供应商应在</w:t>
      </w:r>
      <w:r>
        <w:rPr>
          <w:rFonts w:hint="eastAsia" w:ascii="宋体" w:hAnsi="宋体" w:cs="宋体"/>
          <w:color w:val="auto"/>
          <w:sz w:val="28"/>
          <w:szCs w:val="28"/>
          <w:highlight w:val="none"/>
          <w:lang w:val="en-US" w:eastAsia="zh-CN"/>
        </w:rPr>
        <w:t>启东市吕四自来水厂有限公司网站（https://www.qdlszlsc.com）</w:t>
      </w:r>
      <w:r>
        <w:rPr>
          <w:rFonts w:hint="eastAsia" w:ascii="宋体" w:hAnsi="宋体" w:eastAsia="宋体" w:cs="宋体"/>
          <w:color w:val="auto"/>
          <w:sz w:val="28"/>
          <w:szCs w:val="28"/>
          <w:highlight w:val="none"/>
        </w:rPr>
        <w:t>获取采购文件，并于</w:t>
      </w:r>
      <w:r>
        <w:rPr>
          <w:rFonts w:hint="eastAsia" w:ascii="宋体" w:hAnsi="宋体" w:eastAsia="宋体" w:cs="宋体"/>
          <w:color w:val="auto"/>
          <w:sz w:val="28"/>
          <w:szCs w:val="28"/>
          <w:highlight w:val="none"/>
          <w:lang w:val="en-US" w:eastAsia="zh-CN"/>
        </w:rPr>
        <w:t>202</w:t>
      </w:r>
      <w:r>
        <w:rPr>
          <w:rFonts w:hint="eastAsia" w:ascii="宋体" w:hAnsi="宋体" w:cs="宋体"/>
          <w:color w:val="auto"/>
          <w:sz w:val="28"/>
          <w:szCs w:val="28"/>
          <w:highlight w:val="none"/>
          <w:lang w:val="en-US" w:eastAsia="zh-CN"/>
        </w:rPr>
        <w:t>5年09月18</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14</w:t>
      </w:r>
      <w:r>
        <w:rPr>
          <w:rFonts w:hint="eastAsia" w:ascii="宋体" w:hAnsi="宋体" w:eastAsia="宋体" w:cs="宋体"/>
          <w:color w:val="auto"/>
          <w:sz w:val="28"/>
          <w:szCs w:val="28"/>
          <w:highlight w:val="none"/>
        </w:rPr>
        <w:t>点</w:t>
      </w:r>
      <w:r>
        <w:rPr>
          <w:rFonts w:hint="eastAsia" w:ascii="宋体" w:hAnsi="宋体" w:cs="宋体"/>
          <w:color w:val="auto"/>
          <w:sz w:val="28"/>
          <w:szCs w:val="28"/>
          <w:highlight w:val="none"/>
          <w:lang w:val="en-US" w:eastAsia="zh-CN"/>
        </w:rPr>
        <w:t>30</w:t>
      </w:r>
      <w:r>
        <w:rPr>
          <w:rFonts w:hint="eastAsia" w:ascii="宋体" w:hAnsi="宋体" w:eastAsia="宋体" w:cs="宋体"/>
          <w:color w:val="auto"/>
          <w:sz w:val="28"/>
          <w:szCs w:val="28"/>
          <w:highlight w:val="none"/>
        </w:rPr>
        <w:t>分（北京时间）前递交响应文件。</w:t>
      </w:r>
    </w:p>
    <w:p w14:paraId="69170C14">
      <w:pPr>
        <w:adjustRightInd w:val="0"/>
        <w:snapToGrid w:val="0"/>
        <w:spacing w:line="500" w:lineRule="exact"/>
        <w:ind w:firstLine="562" w:firstLineChars="200"/>
        <w:rPr>
          <w:rFonts w:hint="eastAsia" w:ascii="宋体" w:hAnsi="宋体" w:eastAsia="宋体" w:cs="宋体"/>
          <w:b/>
          <w:bCs/>
          <w:color w:val="auto"/>
          <w:sz w:val="28"/>
          <w:szCs w:val="28"/>
          <w:highlight w:val="none"/>
        </w:rPr>
      </w:pPr>
      <w:bookmarkStart w:id="5" w:name="_Toc82505652"/>
      <w:r>
        <w:rPr>
          <w:rFonts w:hint="eastAsia" w:ascii="宋体" w:hAnsi="宋体" w:eastAsia="宋体" w:cs="宋体"/>
          <w:b/>
          <w:bCs/>
          <w:color w:val="auto"/>
          <w:sz w:val="28"/>
          <w:szCs w:val="28"/>
          <w:highlight w:val="none"/>
        </w:rPr>
        <w:t>一、项目基本情况</w:t>
      </w:r>
      <w:bookmarkEnd w:id="5"/>
    </w:p>
    <w:p w14:paraId="00226D6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val="en-US" w:eastAsia="zh-CN"/>
        </w:rPr>
        <w:t>启东市洋吕铁路安置房（东区）二次供水泵房一标段（设备采购及安装项目）</w:t>
      </w:r>
    </w:p>
    <w:p w14:paraId="445DB5A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项目类型：货物</w:t>
      </w:r>
    </w:p>
    <w:p w14:paraId="723E309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所属行业：工业</w:t>
      </w:r>
    </w:p>
    <w:p w14:paraId="77393AA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default" w:ascii="宋体" w:hAnsi="宋体" w:eastAsia="宋体" w:cs="宋体"/>
          <w:color w:val="auto"/>
          <w:spacing w:val="-11"/>
          <w:position w:val="0"/>
          <w:sz w:val="28"/>
          <w:szCs w:val="28"/>
          <w:highlight w:val="none"/>
          <w:lang w:val="en-US" w:eastAsia="zh-CN"/>
        </w:rPr>
      </w:pPr>
      <w:r>
        <w:rPr>
          <w:rFonts w:hint="eastAsia" w:ascii="宋体" w:hAnsi="宋体" w:eastAsia="宋体" w:cs="宋体"/>
          <w:color w:val="auto"/>
          <w:spacing w:val="0"/>
          <w:position w:val="0"/>
          <w:sz w:val="28"/>
          <w:szCs w:val="28"/>
          <w:highlight w:val="none"/>
        </w:rPr>
        <w:t>预算金额</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lang w:val="en-US" w:eastAsia="zh-CN"/>
        </w:rPr>
        <w:t>含税</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11"/>
          <w:position w:val="0"/>
          <w:sz w:val="28"/>
          <w:szCs w:val="28"/>
          <w:highlight w:val="none"/>
        </w:rPr>
        <w:t>：</w:t>
      </w:r>
      <w:r>
        <w:rPr>
          <w:rFonts w:hint="eastAsia" w:ascii="宋体" w:hAnsi="宋体" w:eastAsia="宋体" w:cs="宋体"/>
          <w:color w:val="auto"/>
          <w:spacing w:val="-11"/>
          <w:position w:val="0"/>
          <w:sz w:val="28"/>
          <w:szCs w:val="28"/>
          <w:highlight w:val="none"/>
          <w:lang w:val="en-US" w:eastAsia="zh-CN"/>
        </w:rPr>
        <w:t>489408</w:t>
      </w:r>
      <w:r>
        <w:rPr>
          <w:rFonts w:hint="eastAsia" w:ascii="宋体" w:hAnsi="宋体" w:eastAsia="宋体" w:cs="宋体"/>
          <w:color w:val="auto"/>
          <w:spacing w:val="-11"/>
          <w:position w:val="0"/>
          <w:sz w:val="28"/>
          <w:szCs w:val="28"/>
          <w:highlight w:val="none"/>
          <w:lang w:eastAsia="zh-CN"/>
        </w:rPr>
        <w:t>元</w:t>
      </w:r>
      <w:r>
        <w:rPr>
          <w:rFonts w:hint="eastAsia" w:ascii="宋体" w:hAnsi="宋体" w:cs="宋体"/>
          <w:color w:val="auto"/>
          <w:spacing w:val="-11"/>
          <w:position w:val="0"/>
          <w:sz w:val="28"/>
          <w:szCs w:val="28"/>
          <w:highlight w:val="none"/>
          <w:lang w:val="en-US" w:eastAsia="zh-CN"/>
        </w:rPr>
        <w:t xml:space="preserve"> </w:t>
      </w:r>
    </w:p>
    <w:p w14:paraId="0273C5B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s="宋体"/>
          <w:color w:val="auto"/>
          <w:spacing w:val="-11"/>
          <w:sz w:val="28"/>
          <w:szCs w:val="28"/>
          <w:highlight w:val="none"/>
          <w:lang w:val="en-US" w:eastAsia="zh-CN"/>
        </w:rPr>
      </w:pPr>
      <w:r>
        <w:rPr>
          <w:rFonts w:hint="eastAsia" w:ascii="宋体" w:hAnsi="宋体" w:eastAsia="宋体" w:cs="宋体"/>
          <w:color w:val="auto"/>
          <w:spacing w:val="0"/>
          <w:position w:val="0"/>
          <w:sz w:val="28"/>
          <w:szCs w:val="28"/>
          <w:highlight w:val="none"/>
          <w:lang w:eastAsia="zh-CN"/>
        </w:rPr>
        <w:t>最高限价（</w:t>
      </w:r>
      <w:r>
        <w:rPr>
          <w:rFonts w:hint="eastAsia" w:ascii="宋体" w:hAnsi="宋体" w:eastAsia="宋体" w:cs="宋体"/>
          <w:color w:val="auto"/>
          <w:spacing w:val="0"/>
          <w:position w:val="0"/>
          <w:sz w:val="28"/>
          <w:szCs w:val="28"/>
          <w:highlight w:val="none"/>
          <w:lang w:val="en-US" w:eastAsia="zh-CN"/>
        </w:rPr>
        <w:t>含税</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11"/>
          <w:position w:val="0"/>
          <w:sz w:val="28"/>
          <w:szCs w:val="28"/>
          <w:highlight w:val="none"/>
          <w:lang w:eastAsia="zh-CN"/>
        </w:rPr>
        <w:t>：</w:t>
      </w:r>
      <w:r>
        <w:rPr>
          <w:rFonts w:hint="eastAsia" w:ascii="宋体" w:hAnsi="宋体" w:eastAsia="宋体" w:cs="宋体"/>
          <w:color w:val="auto"/>
          <w:spacing w:val="-11"/>
          <w:position w:val="0"/>
          <w:sz w:val="28"/>
          <w:szCs w:val="28"/>
          <w:highlight w:val="none"/>
          <w:lang w:val="en-US" w:eastAsia="zh-CN"/>
        </w:rPr>
        <w:t>489408</w:t>
      </w:r>
      <w:r>
        <w:rPr>
          <w:rFonts w:hint="eastAsia" w:ascii="宋体" w:hAnsi="宋体" w:eastAsia="宋体" w:cs="宋体"/>
          <w:color w:val="auto"/>
          <w:spacing w:val="-11"/>
          <w:sz w:val="28"/>
          <w:szCs w:val="28"/>
          <w:highlight w:val="none"/>
        </w:rPr>
        <w:t>元</w:t>
      </w:r>
      <w:r>
        <w:rPr>
          <w:rFonts w:hint="eastAsia" w:ascii="宋体" w:hAnsi="宋体" w:cs="宋体"/>
          <w:color w:val="auto"/>
          <w:spacing w:val="-11"/>
          <w:sz w:val="28"/>
          <w:szCs w:val="28"/>
          <w:highlight w:val="none"/>
          <w:lang w:val="en-US" w:eastAsia="zh-CN"/>
        </w:rPr>
        <w:t>，投标报价超过最高限价的视为无效报价。</w:t>
      </w:r>
    </w:p>
    <w:p w14:paraId="66CC03F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bookmarkStart w:id="6" w:name="_Toc82505653"/>
      <w:r>
        <w:rPr>
          <w:rFonts w:hint="eastAsia" w:ascii="宋体" w:hAnsi="宋体" w:eastAsia="宋体" w:cs="宋体"/>
          <w:color w:val="auto"/>
          <w:sz w:val="28"/>
          <w:szCs w:val="28"/>
          <w:highlight w:val="none"/>
        </w:rPr>
        <w:t>采购需求：详见采购文件，请仔细研究。</w:t>
      </w:r>
    </w:p>
    <w:p w14:paraId="16D7A340">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color w:val="auto"/>
          <w:sz w:val="28"/>
          <w:szCs w:val="28"/>
          <w:highlight w:val="none"/>
          <w:lang w:eastAsia="zh-CN"/>
        </w:rPr>
      </w:pPr>
      <w:r>
        <w:rPr>
          <w:rFonts w:hint="eastAsia" w:ascii="宋体" w:hAnsi="宋体" w:eastAsia="宋体" w:cs="宋体"/>
          <w:color w:val="auto"/>
          <w:sz w:val="28"/>
          <w:szCs w:val="28"/>
          <w:highlight w:val="none"/>
        </w:rPr>
        <w:t>合同履行期限：详见</w:t>
      </w:r>
      <w:r>
        <w:rPr>
          <w:rFonts w:hint="eastAsia" w:ascii="宋体" w:hAnsi="宋体" w:cs="宋体"/>
          <w:color w:val="auto"/>
          <w:sz w:val="28"/>
          <w:szCs w:val="28"/>
          <w:highlight w:val="none"/>
          <w:lang w:eastAsia="zh-CN"/>
        </w:rPr>
        <w:t>询价</w:t>
      </w:r>
      <w:r>
        <w:rPr>
          <w:rFonts w:hint="eastAsia" w:ascii="宋体" w:hAnsi="宋体" w:eastAsia="宋体" w:cs="宋体"/>
          <w:color w:val="auto"/>
          <w:sz w:val="28"/>
          <w:szCs w:val="28"/>
          <w:highlight w:val="none"/>
        </w:rPr>
        <w:t>文件第三部分项目需求</w:t>
      </w:r>
      <w:r>
        <w:rPr>
          <w:rFonts w:hint="eastAsia" w:ascii="宋体" w:hAnsi="宋体" w:cs="宋体"/>
          <w:color w:val="auto"/>
          <w:sz w:val="28"/>
          <w:szCs w:val="28"/>
          <w:highlight w:val="none"/>
          <w:lang w:eastAsia="zh-CN"/>
        </w:rPr>
        <w:t>。</w:t>
      </w:r>
    </w:p>
    <w:p w14:paraId="0867C3C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接受联合体。</w:t>
      </w:r>
    </w:p>
    <w:p w14:paraId="1F69399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接受分包。</w:t>
      </w:r>
    </w:p>
    <w:p w14:paraId="6F33ACE5">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二、响应供应商的资格要求：</w:t>
      </w:r>
      <w:bookmarkEnd w:id="6"/>
    </w:p>
    <w:p w14:paraId="796799B0">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7" w:name="_Toc82505654"/>
      <w:r>
        <w:rPr>
          <w:rFonts w:hint="eastAsia" w:ascii="宋体" w:hAnsi="宋体" w:eastAsia="宋体" w:cs="宋体"/>
          <w:color w:val="auto"/>
          <w:sz w:val="28"/>
          <w:szCs w:val="28"/>
          <w:highlight w:val="none"/>
        </w:rPr>
        <w:t>1.满足《中华人民共和国政府采购法》第二十二条规定；</w:t>
      </w:r>
    </w:p>
    <w:p w14:paraId="296ADF5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2.落实政府采购政策需满足的资格要求：无；</w:t>
      </w:r>
    </w:p>
    <w:p w14:paraId="2753A97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.本项目特定资格要求：</w:t>
      </w:r>
    </w:p>
    <w:p w14:paraId="5AAC87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（1）未被“信用中国”网站列入失信被执行人、重大税收违法案件当事人名单、政府采购严重失信行为记录名单。</w:t>
      </w:r>
    </w:p>
    <w:p w14:paraId="0B8AD94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（2）投标人所投产品具有无负压设备的《涉及饮用水卫生安全产品卫生许可批件》。</w:t>
      </w:r>
    </w:p>
    <w:p w14:paraId="2F6ED636">
      <w:pPr>
        <w:adjustRightInd w:val="0"/>
        <w:snapToGrid w:val="0"/>
        <w:spacing w:line="500" w:lineRule="exact"/>
        <w:ind w:firstLine="560" w:firstLineChars="200"/>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（3）供应商自2022年8月1日以来（以合同签订时间为准）有类似的供货业绩（提供相对应的合同复印件加盖公章）。</w:t>
      </w:r>
    </w:p>
    <w:p w14:paraId="23CC043F">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4.本项目不接受联合体。</w:t>
      </w:r>
    </w:p>
    <w:p w14:paraId="49AF1EB9">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三、获取采购文件</w:t>
      </w:r>
      <w:bookmarkEnd w:id="7"/>
    </w:p>
    <w:p w14:paraId="5E3A750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时间：自本公告发布之日起至</w:t>
      </w:r>
      <w:r>
        <w:rPr>
          <w:rFonts w:hint="eastAsia" w:ascii="宋体" w:hAnsi="宋体" w:cs="宋体"/>
          <w:color w:val="auto"/>
          <w:sz w:val="28"/>
          <w:szCs w:val="28"/>
          <w:highlight w:val="none"/>
          <w:lang w:val="en-US" w:eastAsia="zh-CN"/>
        </w:rPr>
        <w:t>2025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09</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18</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14</w:t>
      </w:r>
      <w:r>
        <w:rPr>
          <w:rFonts w:hint="eastAsia" w:ascii="宋体" w:hAnsi="宋体" w:eastAsia="宋体" w:cs="宋体"/>
          <w:color w:val="auto"/>
          <w:sz w:val="28"/>
          <w:szCs w:val="28"/>
          <w:highlight w:val="none"/>
        </w:rPr>
        <w:t>点</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0分</w:t>
      </w:r>
    </w:p>
    <w:p w14:paraId="325375DD">
      <w:pPr>
        <w:keepNext w:val="0"/>
        <w:keepLines w:val="0"/>
        <w:pageBreakBefore w:val="0"/>
        <w:widowControl/>
        <w:shd w:val="clear" w:color="auto" w:fill="FFFFFF"/>
        <w:kinsoku/>
        <w:wordWrap/>
        <w:overflowPunct/>
        <w:topLinePunct w:val="0"/>
        <w:autoSpaceDE/>
        <w:autoSpaceDN/>
        <w:bidi w:val="0"/>
        <w:adjustRightInd/>
        <w:spacing w:line="500" w:lineRule="exact"/>
        <w:ind w:firstLine="588" w:firstLineChars="200"/>
        <w:textAlignment w:val="auto"/>
        <w:rPr>
          <w:rFonts w:hint="eastAsia" w:ascii="宋体" w:hAnsi="宋体" w:eastAsia="宋体" w:cs="宋体"/>
          <w:color w:val="auto"/>
          <w:sz w:val="28"/>
          <w:szCs w:val="28"/>
          <w:highlight w:val="none"/>
        </w:rPr>
      </w:pPr>
      <w:bookmarkStart w:id="8" w:name="_Toc82505655"/>
      <w:r>
        <w:rPr>
          <w:rFonts w:hint="eastAsia" w:ascii="宋体" w:hAnsi="宋体" w:eastAsia="宋体" w:cs="宋体"/>
          <w:color w:val="auto"/>
          <w:spacing w:val="7"/>
          <w:kern w:val="0"/>
          <w:sz w:val="28"/>
          <w:szCs w:val="28"/>
          <w:highlight w:val="none"/>
        </w:rPr>
        <w:t>获取的地点、方式：供应商登录</w:t>
      </w:r>
      <w:r>
        <w:rPr>
          <w:rFonts w:hint="eastAsia" w:ascii="宋体" w:hAnsi="宋体" w:cs="宋体"/>
          <w:color w:val="auto"/>
          <w:sz w:val="28"/>
          <w:szCs w:val="28"/>
          <w:highlight w:val="none"/>
          <w:lang w:eastAsia="zh-CN"/>
        </w:rPr>
        <w:t>启东市吕四自来水厂有限公司</w:t>
      </w:r>
      <w:r>
        <w:rPr>
          <w:rFonts w:hint="eastAsia" w:ascii="宋体" w:hAnsi="宋体" w:cs="宋体"/>
          <w:color w:val="auto"/>
          <w:sz w:val="28"/>
          <w:szCs w:val="28"/>
          <w:highlight w:val="none"/>
          <w:lang w:val="en-US" w:eastAsia="zh-CN"/>
        </w:rPr>
        <w:t>网站</w:t>
      </w:r>
      <w:r>
        <w:rPr>
          <w:rFonts w:hint="eastAsia" w:ascii="宋体" w:hAnsi="宋体" w:cs="宋体"/>
          <w:color w:val="auto"/>
          <w:sz w:val="28"/>
          <w:szCs w:val="28"/>
          <w:highlight w:val="none"/>
          <w:lang w:eastAsia="zh-CN"/>
        </w:rPr>
        <w:t>（https://www.qdlszlsc.com）</w:t>
      </w:r>
      <w:r>
        <w:rPr>
          <w:rFonts w:hint="eastAsia" w:ascii="宋体" w:hAnsi="宋体" w:eastAsia="宋体" w:cs="宋体"/>
          <w:color w:val="auto"/>
          <w:spacing w:val="7"/>
          <w:kern w:val="0"/>
          <w:sz w:val="28"/>
          <w:szCs w:val="28"/>
          <w:highlight w:val="none"/>
        </w:rPr>
        <w:t>进行下载操作。</w:t>
      </w:r>
    </w:p>
    <w:p w14:paraId="18D8A804">
      <w:pPr>
        <w:adjustRightInd w:val="0"/>
        <w:snapToGrid w:val="0"/>
        <w:spacing w:line="5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四、响应文件提交</w:t>
      </w:r>
      <w:bookmarkEnd w:id="8"/>
      <w:bookmarkStart w:id="9" w:name="_Toc82505657"/>
      <w:r>
        <w:rPr>
          <w:rFonts w:hint="eastAsia" w:ascii="宋体" w:hAnsi="宋体" w:eastAsia="宋体" w:cs="宋体"/>
          <w:b/>
          <w:color w:val="auto"/>
          <w:sz w:val="28"/>
          <w:szCs w:val="28"/>
          <w:highlight w:val="none"/>
        </w:rPr>
        <w:t>截止时间、</w:t>
      </w:r>
      <w:r>
        <w:rPr>
          <w:rFonts w:hint="eastAsia" w:ascii="宋体" w:hAnsi="宋体" w:cs="宋体"/>
          <w:b/>
          <w:color w:val="auto"/>
          <w:sz w:val="28"/>
          <w:szCs w:val="28"/>
          <w:highlight w:val="none"/>
          <w:lang w:eastAsia="zh-CN"/>
        </w:rPr>
        <w:t>开标</w:t>
      </w:r>
      <w:r>
        <w:rPr>
          <w:rFonts w:hint="eastAsia" w:ascii="宋体" w:hAnsi="宋体" w:eastAsia="宋体" w:cs="宋体"/>
          <w:b/>
          <w:color w:val="auto"/>
          <w:sz w:val="28"/>
          <w:szCs w:val="28"/>
          <w:highlight w:val="none"/>
        </w:rPr>
        <w:t>时间和地点</w:t>
      </w:r>
    </w:p>
    <w:p w14:paraId="19A8681F">
      <w:pPr>
        <w:keepNext w:val="0"/>
        <w:keepLines w:val="0"/>
        <w:pageBreakBefore w:val="0"/>
        <w:kinsoku/>
        <w:wordWrap/>
        <w:overflowPunct/>
        <w:topLinePunct w:val="0"/>
        <w:autoSpaceDE/>
        <w:autoSpaceDN/>
        <w:bidi w:val="0"/>
        <w:adjustRightInd/>
        <w:snapToGrid w:val="0"/>
        <w:spacing w:line="500" w:lineRule="exact"/>
        <w:ind w:firstLine="560" w:firstLineChars="200"/>
        <w:contextualSpacing/>
        <w:textAlignment w:val="auto"/>
        <w:rPr>
          <w:rFonts w:hint="eastAsia" w:ascii="宋体" w:hAnsi="宋体" w:eastAsia="宋体" w:cs="宋体"/>
          <w:color w:val="auto"/>
          <w:spacing w:val="0"/>
          <w:position w:val="0"/>
          <w:sz w:val="28"/>
          <w:szCs w:val="28"/>
          <w:highlight w:val="none"/>
        </w:rPr>
      </w:pPr>
      <w:bookmarkStart w:id="10" w:name="_Toc82505656"/>
      <w:r>
        <w:rPr>
          <w:rFonts w:hint="eastAsia" w:ascii="宋体" w:hAnsi="宋体" w:eastAsia="宋体" w:cs="宋体"/>
          <w:color w:val="auto"/>
          <w:spacing w:val="0"/>
          <w:position w:val="0"/>
          <w:sz w:val="28"/>
          <w:szCs w:val="28"/>
          <w:highlight w:val="none"/>
        </w:rPr>
        <w:t>递交时间：投标申请人应于202</w:t>
      </w:r>
      <w:r>
        <w:rPr>
          <w:rFonts w:hint="eastAsia"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rPr>
        <w:t>年</w:t>
      </w:r>
      <w:r>
        <w:rPr>
          <w:rFonts w:hint="eastAsia" w:asciiTheme="minorEastAsia" w:hAnsiTheme="minorEastAsia" w:eastAsiaTheme="minorEastAsia"/>
          <w:color w:val="auto"/>
          <w:sz w:val="28"/>
          <w:szCs w:val="28"/>
          <w:highlight w:val="none"/>
          <w:lang w:val="en-US" w:eastAsia="zh-CN"/>
        </w:rPr>
        <w:t>09</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18</w:t>
      </w:r>
      <w:r>
        <w:rPr>
          <w:rFonts w:asciiTheme="minorEastAsia" w:hAnsiTheme="minorEastAsia" w:eastAsiaTheme="minorEastAsia"/>
          <w:color w:val="auto"/>
          <w:sz w:val="28"/>
          <w:szCs w:val="28"/>
          <w:highlight w:val="none"/>
        </w:rPr>
        <w:t>日</w:t>
      </w:r>
      <w:r>
        <w:rPr>
          <w:rFonts w:hint="eastAsia" w:asciiTheme="minorEastAsia" w:hAnsiTheme="minorEastAsia" w:eastAsiaTheme="minorEastAsia"/>
          <w:color w:val="auto"/>
          <w:sz w:val="28"/>
          <w:szCs w:val="28"/>
          <w:highlight w:val="none"/>
          <w:lang w:val="en-US" w:eastAsia="zh-CN"/>
        </w:rPr>
        <w:t>14</w:t>
      </w:r>
      <w:r>
        <w:rPr>
          <w:rFonts w:hint="eastAsia" w:ascii="宋体" w:hAnsi="宋体" w:eastAsia="宋体" w:cs="宋体"/>
          <w:color w:val="auto"/>
          <w:spacing w:val="0"/>
          <w:position w:val="0"/>
          <w:sz w:val="28"/>
          <w:szCs w:val="28"/>
          <w:highlight w:val="none"/>
          <w:lang w:val="en-US" w:eastAsia="zh-CN"/>
        </w:rPr>
        <w:t>点</w:t>
      </w:r>
      <w:r>
        <w:rPr>
          <w:rFonts w:hint="eastAsia" w:ascii="宋体" w:hAnsi="宋体" w:cs="宋体"/>
          <w:color w:val="auto"/>
          <w:spacing w:val="0"/>
          <w:position w:val="0"/>
          <w:sz w:val="28"/>
          <w:szCs w:val="28"/>
          <w:highlight w:val="none"/>
          <w:lang w:val="en-US" w:eastAsia="zh-CN"/>
        </w:rPr>
        <w:t>0</w:t>
      </w:r>
      <w:r>
        <w:rPr>
          <w:rFonts w:hint="eastAsia" w:ascii="宋体" w:hAnsi="宋体" w:eastAsia="宋体" w:cs="宋体"/>
          <w:color w:val="auto"/>
          <w:spacing w:val="0"/>
          <w:position w:val="0"/>
          <w:sz w:val="28"/>
          <w:szCs w:val="28"/>
          <w:highlight w:val="none"/>
          <w:lang w:val="en-US" w:eastAsia="zh-CN"/>
        </w:rPr>
        <w:t>0分</w:t>
      </w:r>
      <w:r>
        <w:rPr>
          <w:rFonts w:hint="eastAsia" w:ascii="宋体" w:hAnsi="宋体" w:eastAsia="宋体" w:cs="宋体"/>
          <w:color w:val="auto"/>
          <w:spacing w:val="0"/>
          <w:position w:val="0"/>
          <w:sz w:val="28"/>
          <w:szCs w:val="28"/>
          <w:highlight w:val="none"/>
        </w:rPr>
        <w:t>-</w:t>
      </w:r>
      <w:r>
        <w:rPr>
          <w:rFonts w:hint="eastAsia" w:ascii="宋体" w:hAnsi="宋体" w:cs="宋体"/>
          <w:color w:val="auto"/>
          <w:spacing w:val="0"/>
          <w:position w:val="0"/>
          <w:sz w:val="28"/>
          <w:szCs w:val="28"/>
          <w:highlight w:val="none"/>
          <w:lang w:val="en-US" w:eastAsia="zh-CN"/>
        </w:rPr>
        <w:t>14</w:t>
      </w:r>
      <w:r>
        <w:rPr>
          <w:rFonts w:hint="eastAsia" w:ascii="宋体" w:hAnsi="宋体" w:eastAsia="宋体" w:cs="宋体"/>
          <w:color w:val="auto"/>
          <w:spacing w:val="0"/>
          <w:position w:val="0"/>
          <w:sz w:val="28"/>
          <w:szCs w:val="28"/>
          <w:highlight w:val="none"/>
          <w:lang w:val="en-US" w:eastAsia="zh-CN"/>
        </w:rPr>
        <w:t>点</w:t>
      </w:r>
      <w:r>
        <w:rPr>
          <w:rFonts w:hint="eastAsia" w:ascii="宋体" w:hAnsi="宋体" w:cs="宋体"/>
          <w:color w:val="auto"/>
          <w:spacing w:val="0"/>
          <w:position w:val="0"/>
          <w:sz w:val="28"/>
          <w:szCs w:val="28"/>
          <w:highlight w:val="none"/>
          <w:lang w:val="en-US" w:eastAsia="zh-CN"/>
        </w:rPr>
        <w:t>3</w:t>
      </w:r>
      <w:r>
        <w:rPr>
          <w:rFonts w:hint="eastAsia" w:ascii="宋体" w:hAnsi="宋体" w:eastAsia="宋体" w:cs="宋体"/>
          <w:color w:val="auto"/>
          <w:spacing w:val="0"/>
          <w:position w:val="0"/>
          <w:sz w:val="28"/>
          <w:szCs w:val="28"/>
          <w:highlight w:val="none"/>
          <w:lang w:val="en-US" w:eastAsia="zh-CN"/>
        </w:rPr>
        <w:t>0分</w:t>
      </w:r>
      <w:r>
        <w:rPr>
          <w:rFonts w:hint="eastAsia" w:ascii="宋体" w:hAnsi="宋体" w:eastAsia="宋体" w:cs="宋体"/>
          <w:color w:val="auto"/>
          <w:spacing w:val="0"/>
          <w:position w:val="0"/>
          <w:sz w:val="28"/>
          <w:szCs w:val="28"/>
          <w:highlight w:val="none"/>
        </w:rPr>
        <w:t>送至</w:t>
      </w:r>
      <w:r>
        <w:rPr>
          <w:rFonts w:hint="eastAsia" w:ascii="宋体" w:hAnsi="宋体" w:eastAsia="宋体" w:cs="宋体"/>
          <w:b/>
          <w:bCs/>
          <w:color w:val="auto"/>
          <w:spacing w:val="0"/>
          <w:position w:val="0"/>
          <w:sz w:val="28"/>
          <w:szCs w:val="28"/>
          <w:highlight w:val="none"/>
        </w:rPr>
        <w:t>启东市汇龙镇金沙江路672号启东城投集团有限公司二楼开标室</w:t>
      </w:r>
      <w:r>
        <w:rPr>
          <w:rFonts w:hint="eastAsia" w:ascii="宋体" w:hAnsi="宋体" w:eastAsia="宋体" w:cs="宋体"/>
          <w:color w:val="auto"/>
          <w:spacing w:val="0"/>
          <w:position w:val="0"/>
          <w:sz w:val="28"/>
          <w:szCs w:val="28"/>
          <w:highlight w:val="none"/>
        </w:rPr>
        <w:t>并登记（</w:t>
      </w:r>
      <w:r>
        <w:rPr>
          <w:rFonts w:hint="eastAsia" w:ascii="宋体" w:hAnsi="宋体" w:eastAsia="宋体" w:cs="宋体"/>
          <w:b/>
          <w:bCs/>
          <w:color w:val="auto"/>
          <w:spacing w:val="0"/>
          <w:position w:val="0"/>
          <w:sz w:val="28"/>
          <w:szCs w:val="28"/>
          <w:highlight w:val="none"/>
        </w:rPr>
        <w:t>只接受直接送达</w:t>
      </w:r>
      <w:r>
        <w:rPr>
          <w:rFonts w:hint="eastAsia" w:ascii="宋体" w:hAnsi="宋体" w:eastAsia="宋体" w:cs="宋体"/>
          <w:color w:val="auto"/>
          <w:spacing w:val="0"/>
          <w:position w:val="0"/>
          <w:sz w:val="28"/>
          <w:szCs w:val="28"/>
          <w:highlight w:val="none"/>
        </w:rPr>
        <w:t>），逾时则不予受理。</w:t>
      </w:r>
      <w:r>
        <w:rPr>
          <w:rFonts w:hint="eastAsia" w:ascii="宋体" w:hAnsi="宋体" w:eastAsia="宋体" w:cs="宋体"/>
          <w:color w:val="auto"/>
          <w:sz w:val="28"/>
          <w:szCs w:val="28"/>
          <w:highlight w:val="none"/>
          <w:lang w:eastAsia="zh-CN"/>
        </w:rPr>
        <w:t>询价</w:t>
      </w:r>
      <w:r>
        <w:rPr>
          <w:rFonts w:hint="eastAsia" w:ascii="宋体" w:hAnsi="宋体" w:eastAsia="宋体" w:cs="宋体"/>
          <w:color w:val="auto"/>
          <w:sz w:val="28"/>
          <w:szCs w:val="28"/>
          <w:highlight w:val="none"/>
          <w:lang w:val="en-US" w:eastAsia="zh-CN"/>
        </w:rPr>
        <w:t>文件工本费每套100元，无论是否中标，均不退还工本费</w:t>
      </w:r>
      <w:r>
        <w:rPr>
          <w:rFonts w:hint="eastAsia" w:ascii="宋体" w:hAnsi="宋体" w:eastAsia="宋体" w:cs="宋体"/>
          <w:color w:val="auto"/>
          <w:sz w:val="28"/>
          <w:szCs w:val="28"/>
          <w:highlight w:val="none"/>
        </w:rPr>
        <w:t>。</w:t>
      </w:r>
    </w:p>
    <w:p w14:paraId="4E9C11AA">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开标时间：202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lang w:val="en-US" w:eastAsia="zh-CN"/>
        </w:rPr>
        <w:t>月</w:t>
      </w:r>
      <w:r>
        <w:rPr>
          <w:rFonts w:hint="eastAsia" w:ascii="宋体" w:hAnsi="宋体" w:cs="宋体"/>
          <w:color w:val="auto"/>
          <w:sz w:val="28"/>
          <w:szCs w:val="28"/>
          <w:highlight w:val="none"/>
          <w:lang w:val="en-US" w:eastAsia="zh-CN"/>
        </w:rPr>
        <w:t>18</w:t>
      </w:r>
      <w:r>
        <w:rPr>
          <w:rFonts w:hint="eastAsia" w:ascii="宋体" w:hAnsi="宋体" w:eastAsia="宋体" w:cs="宋体"/>
          <w:color w:val="auto"/>
          <w:sz w:val="28"/>
          <w:szCs w:val="28"/>
          <w:highlight w:val="none"/>
          <w:lang w:val="en-US" w:eastAsia="zh-CN"/>
        </w:rPr>
        <w:t>日</w:t>
      </w:r>
      <w:r>
        <w:rPr>
          <w:rFonts w:hint="eastAsia" w:ascii="宋体" w:hAnsi="宋体" w:cs="宋体"/>
          <w:color w:val="auto"/>
          <w:sz w:val="28"/>
          <w:szCs w:val="28"/>
          <w:highlight w:val="none"/>
          <w:lang w:val="en-US" w:eastAsia="zh-CN"/>
        </w:rPr>
        <w:t>下</w:t>
      </w:r>
      <w:r>
        <w:rPr>
          <w:rFonts w:hint="eastAsia" w:ascii="宋体" w:hAnsi="宋体" w:eastAsia="宋体" w:cs="宋体"/>
          <w:color w:val="auto"/>
          <w:sz w:val="28"/>
          <w:szCs w:val="28"/>
          <w:highlight w:val="none"/>
          <w:lang w:val="en-US" w:eastAsia="zh-CN"/>
        </w:rPr>
        <w:t>午</w:t>
      </w:r>
      <w:r>
        <w:rPr>
          <w:rFonts w:hint="eastAsia" w:ascii="宋体" w:hAnsi="宋体" w:cs="宋体"/>
          <w:color w:val="auto"/>
          <w:sz w:val="28"/>
          <w:szCs w:val="28"/>
          <w:highlight w:val="none"/>
          <w:lang w:val="en-US" w:eastAsia="zh-CN"/>
        </w:rPr>
        <w:t>14</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30</w:t>
      </w:r>
      <w:r>
        <w:rPr>
          <w:rFonts w:hint="eastAsia" w:ascii="宋体" w:hAnsi="宋体" w:eastAsia="宋体" w:cs="宋体"/>
          <w:color w:val="auto"/>
          <w:sz w:val="28"/>
          <w:szCs w:val="28"/>
          <w:highlight w:val="none"/>
          <w:lang w:val="en-US" w:eastAsia="zh-CN"/>
        </w:rPr>
        <w:t>（北京时间）</w:t>
      </w:r>
    </w:p>
    <w:bookmarkEnd w:id="10"/>
    <w:p w14:paraId="3D6208BA">
      <w:pPr>
        <w:keepNext w:val="0"/>
        <w:keepLines w:val="0"/>
        <w:pageBreakBefore w:val="0"/>
        <w:kinsoku/>
        <w:wordWrap/>
        <w:overflowPunct/>
        <w:topLinePunct w:val="0"/>
        <w:autoSpaceDE/>
        <w:autoSpaceDN/>
        <w:bidi w:val="0"/>
        <w:adjustRightInd/>
        <w:snapToGrid w:val="0"/>
        <w:spacing w:line="500" w:lineRule="exact"/>
        <w:ind w:firstLine="560" w:firstLineChars="200"/>
        <w:contextualSpacing/>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开标地点：</w:t>
      </w:r>
      <w:r>
        <w:rPr>
          <w:rFonts w:hint="eastAsia" w:ascii="宋体" w:hAnsi="宋体" w:eastAsia="宋体" w:cs="宋体"/>
          <w:b/>
          <w:bCs/>
          <w:color w:val="auto"/>
          <w:spacing w:val="0"/>
          <w:position w:val="0"/>
          <w:sz w:val="28"/>
          <w:szCs w:val="28"/>
          <w:highlight w:val="none"/>
        </w:rPr>
        <w:t>启东市汇龙镇金沙江路672号启东城投集团有限公司二楼开标室</w:t>
      </w:r>
    </w:p>
    <w:p w14:paraId="19A6CB34">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五、公告期限</w:t>
      </w:r>
      <w:bookmarkEnd w:id="9"/>
    </w:p>
    <w:p w14:paraId="2ECE5B5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自本公告发布之日起3个工作日。</w:t>
      </w:r>
    </w:p>
    <w:p w14:paraId="3D92DD17">
      <w:pPr>
        <w:adjustRightInd w:val="0"/>
        <w:snapToGrid w:val="0"/>
        <w:spacing w:line="500" w:lineRule="exact"/>
        <w:ind w:firstLine="562" w:firstLineChars="200"/>
        <w:rPr>
          <w:rFonts w:hint="eastAsia" w:ascii="宋体" w:hAnsi="宋体" w:eastAsia="宋体" w:cs="宋体"/>
          <w:b/>
          <w:bCs/>
          <w:color w:val="auto"/>
          <w:sz w:val="28"/>
          <w:szCs w:val="28"/>
          <w:highlight w:val="none"/>
        </w:rPr>
      </w:pPr>
      <w:bookmarkStart w:id="11" w:name="_Toc82505658"/>
      <w:r>
        <w:rPr>
          <w:rFonts w:hint="eastAsia" w:ascii="宋体" w:hAnsi="宋体" w:eastAsia="宋体" w:cs="宋体"/>
          <w:b/>
          <w:bCs/>
          <w:color w:val="auto"/>
          <w:sz w:val="28"/>
          <w:szCs w:val="28"/>
          <w:highlight w:val="none"/>
        </w:rPr>
        <w:t>六、其他补充事宜</w:t>
      </w:r>
      <w:bookmarkEnd w:id="11"/>
    </w:p>
    <w:p w14:paraId="463895F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1.响应保证金：免收。</w:t>
      </w:r>
    </w:p>
    <w:p w14:paraId="03DD2F8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2.项目开标活动模式：</w:t>
      </w:r>
      <w:r>
        <w:rPr>
          <w:rFonts w:hint="eastAsia" w:ascii="宋体" w:hAnsi="宋体" w:cs="宋体"/>
          <w:color w:val="auto"/>
          <w:sz w:val="28"/>
          <w:szCs w:val="28"/>
          <w:highlight w:val="none"/>
          <w:lang w:val="en-US" w:eastAsia="zh-CN"/>
        </w:rPr>
        <w:t>现场</w:t>
      </w:r>
      <w:r>
        <w:rPr>
          <w:rFonts w:hint="eastAsia" w:ascii="宋体" w:hAnsi="宋体" w:eastAsia="宋体" w:cs="宋体"/>
          <w:color w:val="auto"/>
          <w:sz w:val="28"/>
          <w:szCs w:val="28"/>
          <w:highlight w:val="none"/>
          <w:lang w:eastAsia="zh-CN"/>
        </w:rPr>
        <w:t>开标</w:t>
      </w:r>
      <w:r>
        <w:rPr>
          <w:rFonts w:hint="eastAsia" w:ascii="宋体" w:hAnsi="宋体" w:cs="宋体"/>
          <w:color w:val="auto"/>
          <w:sz w:val="28"/>
          <w:szCs w:val="28"/>
          <w:highlight w:val="none"/>
          <w:lang w:val="en-US" w:eastAsia="zh-CN"/>
        </w:rPr>
        <w:t>模式</w:t>
      </w:r>
      <w:r>
        <w:rPr>
          <w:rFonts w:hint="eastAsia" w:ascii="宋体" w:hAnsi="宋体" w:eastAsia="宋体" w:cs="宋体"/>
          <w:color w:val="auto"/>
          <w:sz w:val="28"/>
          <w:szCs w:val="28"/>
          <w:highlight w:val="none"/>
        </w:rPr>
        <w:t>。</w:t>
      </w:r>
    </w:p>
    <w:p w14:paraId="5775BE0A">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3.项目演示、样品、答辩等：</w:t>
      </w:r>
      <w:r>
        <w:rPr>
          <w:rFonts w:hint="eastAsia" w:ascii="宋体" w:hAnsi="宋体" w:cs="宋体"/>
          <w:color w:val="auto"/>
          <w:sz w:val="28"/>
          <w:szCs w:val="28"/>
          <w:highlight w:val="none"/>
          <w:lang w:eastAsia="zh-CN"/>
        </w:rPr>
        <w:t>无。</w:t>
      </w:r>
    </w:p>
    <w:p w14:paraId="5B08579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4.对项目需求部分（供应商资格要求、项目需求）的询问、质疑请向采购人提出，由采购人负责答复；对项目采购文件其他部分的询问、质疑请向</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提出。</w:t>
      </w:r>
    </w:p>
    <w:p w14:paraId="6A15A43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5B49695B">
      <w:pPr>
        <w:adjustRightInd w:val="0"/>
        <w:snapToGrid w:val="0"/>
        <w:spacing w:line="500" w:lineRule="exact"/>
        <w:ind w:firstLine="562" w:firstLineChars="200"/>
        <w:rPr>
          <w:rFonts w:hint="eastAsia" w:ascii="宋体" w:hAnsi="宋体" w:eastAsia="宋体" w:cs="宋体"/>
          <w:b/>
          <w:bCs/>
          <w:color w:val="auto"/>
          <w:sz w:val="28"/>
          <w:szCs w:val="28"/>
          <w:highlight w:val="none"/>
        </w:rPr>
      </w:pPr>
      <w:bookmarkStart w:id="12" w:name="_Toc82505660"/>
      <w:r>
        <w:rPr>
          <w:rFonts w:hint="eastAsia" w:ascii="宋体" w:hAnsi="宋体" w:eastAsia="宋体" w:cs="宋体"/>
          <w:b/>
          <w:bCs/>
          <w:color w:val="auto"/>
          <w:sz w:val="28"/>
          <w:szCs w:val="28"/>
          <w:highlight w:val="none"/>
        </w:rPr>
        <w:t>七、凡对本次采购提出询问，请按以下方式联系</w:t>
      </w:r>
      <w:bookmarkEnd w:id="12"/>
    </w:p>
    <w:p w14:paraId="339B686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1.采购人信息</w:t>
      </w:r>
    </w:p>
    <w:p w14:paraId="716DF55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名 称：</w:t>
      </w:r>
      <w:r>
        <w:rPr>
          <w:rFonts w:hint="eastAsia" w:ascii="宋体" w:hAnsi="宋体" w:cs="宋体"/>
          <w:color w:val="auto"/>
          <w:sz w:val="28"/>
          <w:szCs w:val="28"/>
          <w:highlight w:val="none"/>
          <w:lang w:val="zh-CN" w:eastAsia="zh-CN"/>
        </w:rPr>
        <w:t>启东市吕四自来水厂有限公司</w:t>
      </w:r>
    </w:p>
    <w:p w14:paraId="27C5C414">
      <w:pPr>
        <w:keepNext w:val="0"/>
        <w:keepLines w:val="0"/>
        <w:pageBreakBefore w:val="0"/>
        <w:widowControl/>
        <w:tabs>
          <w:tab w:val="left" w:pos="8820"/>
        </w:tabs>
        <w:kinsoku w:val="0"/>
        <w:wordWrap/>
        <w:overflowPunct/>
        <w:topLinePunct w:val="0"/>
        <w:autoSpaceDE w:val="0"/>
        <w:autoSpaceDN w:val="0"/>
        <w:bidi w:val="0"/>
        <w:adjustRightInd w:val="0"/>
        <w:snapToGrid w:val="0"/>
        <w:spacing w:line="500" w:lineRule="exact"/>
        <w:ind w:left="0" w:right="0" w:rightChars="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地址：</w:t>
      </w:r>
      <w:r>
        <w:rPr>
          <w:rFonts w:hint="eastAsia" w:ascii="宋体" w:hAnsi="宋体" w:eastAsia="宋体" w:cs="宋体"/>
          <w:color w:val="auto"/>
          <w:spacing w:val="0"/>
          <w:position w:val="0"/>
          <w:sz w:val="28"/>
          <w:szCs w:val="28"/>
          <w:highlight w:val="none"/>
          <w:lang w:eastAsia="zh-CN"/>
        </w:rPr>
        <w:t>启东市吕四港镇环城北路628号</w:t>
      </w:r>
    </w:p>
    <w:p w14:paraId="5230DE5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联系人：汤先生</w:t>
      </w:r>
    </w:p>
    <w:p w14:paraId="712E890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电话：</w:t>
      </w:r>
      <w:r>
        <w:rPr>
          <w:rFonts w:hint="eastAsia" w:ascii="宋体" w:hAnsi="宋体" w:cs="宋体"/>
          <w:color w:val="auto"/>
          <w:sz w:val="28"/>
          <w:szCs w:val="28"/>
          <w:highlight w:val="none"/>
          <w:lang w:val="en-US" w:eastAsia="zh-CN"/>
        </w:rPr>
        <w:t>0513-</w:t>
      </w:r>
      <w:r>
        <w:rPr>
          <w:rFonts w:hint="eastAsia" w:ascii="宋体" w:hAnsi="宋体" w:eastAsia="宋体" w:cs="宋体"/>
          <w:color w:val="auto"/>
          <w:sz w:val="28"/>
          <w:szCs w:val="28"/>
          <w:highlight w:val="none"/>
          <w:lang w:val="en-US" w:eastAsia="zh-CN"/>
        </w:rPr>
        <w:t>83833736</w:t>
      </w:r>
    </w:p>
    <w:p w14:paraId="766088D1">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w:t>
      </w:r>
    </w:p>
    <w:p w14:paraId="1E576A8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r>
        <w:rPr>
          <w:rFonts w:hint="eastAsia" w:ascii="宋体" w:hAnsi="宋体" w:eastAsia="宋体" w:cs="宋体"/>
          <w:color w:val="auto"/>
          <w:sz w:val="28"/>
          <w:szCs w:val="28"/>
          <w:highlight w:val="none"/>
          <w:lang w:val="en-US" w:eastAsia="zh-CN"/>
        </w:rPr>
        <w:t>江苏天宏华信工程投资管理咨询有限公司</w:t>
      </w:r>
    </w:p>
    <w:p w14:paraId="7DF2D66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lang w:val="en-US" w:eastAsia="zh-CN"/>
        </w:rPr>
        <w:t>启东市南苑西路1168号国动产业园2号楼402室</w:t>
      </w:r>
    </w:p>
    <w:p w14:paraId="6F8EFF2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联系人：</w:t>
      </w:r>
      <w:r>
        <w:rPr>
          <w:rFonts w:hint="eastAsia" w:ascii="宋体" w:hAnsi="宋体" w:cs="宋体"/>
          <w:color w:val="auto"/>
          <w:sz w:val="28"/>
          <w:szCs w:val="28"/>
          <w:highlight w:val="none"/>
          <w:lang w:val="en-US" w:eastAsia="zh-CN"/>
        </w:rPr>
        <w:t>顾燕燕</w:t>
      </w:r>
    </w:p>
    <w:p w14:paraId="4F6BE95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电话：</w:t>
      </w:r>
      <w:r>
        <w:rPr>
          <w:rFonts w:hint="eastAsia" w:ascii="宋体" w:hAnsi="宋体" w:cs="宋体"/>
          <w:color w:val="auto"/>
          <w:sz w:val="28"/>
          <w:szCs w:val="28"/>
          <w:highlight w:val="none"/>
          <w:lang w:val="en-US" w:eastAsia="zh-CN"/>
        </w:rPr>
        <w:t>0513-83248588</w:t>
      </w:r>
    </w:p>
    <w:p w14:paraId="298385BF">
      <w:pPr>
        <w:adjustRightInd w:val="0"/>
        <w:snapToGrid w:val="0"/>
        <w:spacing w:line="260" w:lineRule="exact"/>
        <w:ind w:firstLine="840" w:firstLineChars="300"/>
        <w:rPr>
          <w:rFonts w:hint="eastAsia" w:ascii="宋体" w:hAnsi="宋体" w:eastAsia="宋体" w:cs="宋体"/>
          <w:color w:val="auto"/>
          <w:sz w:val="28"/>
          <w:szCs w:val="28"/>
          <w:highlight w:val="none"/>
        </w:rPr>
      </w:pPr>
    </w:p>
    <w:bookmarkEnd w:id="0"/>
    <w:bookmarkEnd w:id="1"/>
    <w:bookmarkEnd w:id="2"/>
    <w:bookmarkEnd w:id="3"/>
    <w:bookmarkEnd w:id="4"/>
    <w:p w14:paraId="66A201E8">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8"/>
          <w:szCs w:val="28"/>
          <w:highlight w:val="none"/>
        </w:rPr>
      </w:pPr>
      <w:bookmarkStart w:id="13" w:name="_Toc82505661"/>
      <w:bookmarkStart w:id="14" w:name="_Toc22736"/>
    </w:p>
    <w:p w14:paraId="4D9F5E99">
      <w:pPr>
        <w:pStyle w:val="2"/>
        <w:rPr>
          <w:rFonts w:hint="eastAsia" w:ascii="宋体" w:hAnsi="宋体" w:eastAsia="宋体" w:cs="宋体"/>
          <w:b/>
          <w:bCs/>
          <w:color w:val="auto"/>
          <w:sz w:val="28"/>
          <w:szCs w:val="28"/>
          <w:highlight w:val="none"/>
        </w:rPr>
      </w:pPr>
    </w:p>
    <w:p w14:paraId="47AC7E53">
      <w:pPr>
        <w:pStyle w:val="3"/>
        <w:rPr>
          <w:rFonts w:hint="eastAsia" w:ascii="宋体" w:hAnsi="宋体" w:eastAsia="宋体" w:cs="宋体"/>
          <w:b/>
          <w:bCs/>
          <w:color w:val="auto"/>
          <w:sz w:val="28"/>
          <w:szCs w:val="28"/>
          <w:highlight w:val="none"/>
        </w:rPr>
      </w:pPr>
    </w:p>
    <w:p w14:paraId="768C5E8C">
      <w:pPr>
        <w:rPr>
          <w:rFonts w:hint="eastAsia" w:ascii="宋体" w:hAnsi="宋体" w:eastAsia="宋体" w:cs="宋体"/>
          <w:b/>
          <w:bCs/>
          <w:color w:val="auto"/>
          <w:sz w:val="28"/>
          <w:szCs w:val="28"/>
          <w:highlight w:val="none"/>
        </w:rPr>
      </w:pPr>
    </w:p>
    <w:p w14:paraId="535D9DE7">
      <w:pPr>
        <w:pStyle w:val="2"/>
        <w:rPr>
          <w:rFonts w:hint="eastAsia" w:ascii="宋体" w:hAnsi="宋体" w:eastAsia="宋体" w:cs="宋体"/>
          <w:b/>
          <w:bCs/>
          <w:color w:val="auto"/>
          <w:sz w:val="28"/>
          <w:szCs w:val="28"/>
          <w:highlight w:val="none"/>
        </w:rPr>
      </w:pPr>
    </w:p>
    <w:p w14:paraId="0A134D7D">
      <w:pPr>
        <w:pStyle w:val="3"/>
        <w:rPr>
          <w:rFonts w:hint="eastAsia" w:ascii="宋体" w:hAnsi="宋体" w:eastAsia="宋体" w:cs="宋体"/>
          <w:b/>
          <w:bCs/>
          <w:color w:val="auto"/>
          <w:sz w:val="28"/>
          <w:szCs w:val="28"/>
          <w:highlight w:val="none"/>
        </w:rPr>
      </w:pPr>
    </w:p>
    <w:p w14:paraId="184D6534">
      <w:pPr>
        <w:rPr>
          <w:rFonts w:hint="eastAsia" w:ascii="宋体" w:hAnsi="宋体" w:eastAsia="宋体" w:cs="宋体"/>
          <w:b/>
          <w:bCs/>
          <w:color w:val="auto"/>
          <w:sz w:val="28"/>
          <w:szCs w:val="28"/>
          <w:highlight w:val="none"/>
        </w:rPr>
      </w:pPr>
    </w:p>
    <w:p w14:paraId="65A31988">
      <w:pPr>
        <w:pStyle w:val="2"/>
        <w:rPr>
          <w:rFonts w:hint="eastAsia" w:ascii="宋体" w:hAnsi="宋体" w:eastAsia="宋体" w:cs="宋体"/>
          <w:b/>
          <w:bCs/>
          <w:color w:val="auto"/>
          <w:sz w:val="28"/>
          <w:szCs w:val="28"/>
          <w:highlight w:val="none"/>
        </w:rPr>
      </w:pPr>
    </w:p>
    <w:p w14:paraId="58EF01A2">
      <w:pPr>
        <w:pStyle w:val="3"/>
        <w:rPr>
          <w:rFonts w:hint="eastAsia" w:ascii="宋体" w:hAnsi="宋体" w:eastAsia="宋体" w:cs="宋体"/>
          <w:b/>
          <w:bCs/>
          <w:color w:val="auto"/>
          <w:sz w:val="28"/>
          <w:szCs w:val="28"/>
          <w:highlight w:val="none"/>
        </w:rPr>
      </w:pPr>
    </w:p>
    <w:p w14:paraId="69496483">
      <w:pPr>
        <w:rPr>
          <w:rFonts w:hint="eastAsia" w:ascii="宋体" w:hAnsi="宋体" w:eastAsia="宋体" w:cs="宋体"/>
          <w:b/>
          <w:bCs/>
          <w:color w:val="auto"/>
          <w:sz w:val="28"/>
          <w:szCs w:val="28"/>
          <w:highlight w:val="none"/>
        </w:rPr>
      </w:pPr>
    </w:p>
    <w:p w14:paraId="1B40F6C3">
      <w:pPr>
        <w:pStyle w:val="2"/>
        <w:rPr>
          <w:rFonts w:hint="eastAsia" w:ascii="宋体" w:hAnsi="宋体" w:eastAsia="宋体" w:cs="宋体"/>
          <w:b/>
          <w:bCs/>
          <w:color w:val="auto"/>
          <w:sz w:val="28"/>
          <w:szCs w:val="28"/>
          <w:highlight w:val="none"/>
        </w:rPr>
      </w:pPr>
    </w:p>
    <w:p w14:paraId="31589C16">
      <w:pPr>
        <w:pStyle w:val="3"/>
        <w:rPr>
          <w:rFonts w:hint="eastAsia" w:ascii="宋体" w:hAnsi="宋体" w:eastAsia="宋体" w:cs="宋体"/>
          <w:b/>
          <w:bCs/>
          <w:color w:val="auto"/>
          <w:sz w:val="28"/>
          <w:szCs w:val="28"/>
          <w:highlight w:val="none"/>
        </w:rPr>
      </w:pPr>
    </w:p>
    <w:p w14:paraId="3033FF20">
      <w:pPr>
        <w:rPr>
          <w:rFonts w:hint="eastAsia" w:ascii="宋体" w:hAnsi="宋体" w:eastAsia="宋体" w:cs="宋体"/>
          <w:b/>
          <w:bCs/>
          <w:color w:val="auto"/>
          <w:sz w:val="28"/>
          <w:szCs w:val="28"/>
          <w:highlight w:val="none"/>
        </w:rPr>
      </w:pPr>
    </w:p>
    <w:p w14:paraId="2D120F34">
      <w:pPr>
        <w:pStyle w:val="2"/>
        <w:rPr>
          <w:rFonts w:hint="eastAsia"/>
        </w:rPr>
      </w:pPr>
    </w:p>
    <w:p w14:paraId="43CEF222">
      <w:pPr>
        <w:rPr>
          <w:rFonts w:hint="eastAsia" w:ascii="宋体" w:hAnsi="宋体" w:eastAsia="宋体" w:cs="宋体"/>
          <w:b/>
          <w:bCs/>
          <w:color w:val="auto"/>
          <w:sz w:val="28"/>
          <w:szCs w:val="28"/>
          <w:highlight w:val="none"/>
        </w:rPr>
      </w:pPr>
    </w:p>
    <w:p w14:paraId="3C6FDF0E">
      <w:pPr>
        <w:pStyle w:val="2"/>
        <w:rPr>
          <w:rFonts w:hint="eastAsia" w:ascii="宋体" w:hAnsi="宋体" w:eastAsia="宋体" w:cs="宋体"/>
          <w:b/>
          <w:bCs/>
          <w:color w:val="auto"/>
          <w:sz w:val="28"/>
          <w:szCs w:val="28"/>
          <w:highlight w:val="none"/>
        </w:rPr>
      </w:pPr>
    </w:p>
    <w:p w14:paraId="7A8626D8">
      <w:pPr>
        <w:pStyle w:val="3"/>
        <w:rPr>
          <w:rFonts w:hint="eastAsia"/>
        </w:rPr>
      </w:pPr>
    </w:p>
    <w:p w14:paraId="46EB294F">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附件: </w:t>
      </w: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项目采购文件</w:t>
      </w:r>
    </w:p>
    <w:p w14:paraId="48A86F67">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2.</w:t>
      </w:r>
      <w:r>
        <w:rPr>
          <w:rFonts w:hint="eastAsia" w:ascii="宋体" w:hAnsi="宋体" w:eastAsia="宋体" w:cs="宋体"/>
          <w:b/>
          <w:bCs/>
          <w:color w:val="auto"/>
          <w:sz w:val="28"/>
          <w:szCs w:val="28"/>
          <w:highlight w:val="none"/>
        </w:rPr>
        <w:t>《启东市供水企业居民住宅二次供水工程技术规程相关要求（含附件）》</w:t>
      </w:r>
    </w:p>
    <w:p w14:paraId="5EA59E8F">
      <w:pPr>
        <w:adjustRightInd w:val="0"/>
        <w:snapToGrid w:val="0"/>
        <w:spacing w:line="500" w:lineRule="exact"/>
        <w:jc w:val="center"/>
        <w:outlineLvl w:val="0"/>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bookmarkEnd w:id="13"/>
      <w:bookmarkEnd w:id="14"/>
      <w:r>
        <w:rPr>
          <w:rFonts w:hint="eastAsia" w:ascii="宋体" w:hAnsi="宋体" w:eastAsia="宋体" w:cs="宋体"/>
          <w:bCs/>
          <w:color w:val="auto"/>
          <w:sz w:val="36"/>
          <w:szCs w:val="36"/>
          <w:highlight w:val="none"/>
        </w:rPr>
        <w:t>第二部分  响应须知</w:t>
      </w:r>
    </w:p>
    <w:p w14:paraId="12C0C266">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14:paraId="07EE6C7E">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bookmarkStart w:id="15" w:name="_Toc458694821"/>
      <w:bookmarkStart w:id="16" w:name="_Toc16938520"/>
      <w:bookmarkStart w:id="17" w:name="_Toc513029204"/>
      <w:bookmarkStart w:id="18" w:name="_Toc20823276"/>
      <w:r>
        <w:rPr>
          <w:rFonts w:hint="eastAsia" w:ascii="宋体" w:hAnsi="宋体" w:eastAsia="宋体" w:cs="宋体"/>
          <w:color w:val="auto"/>
          <w:sz w:val="28"/>
          <w:szCs w:val="28"/>
          <w:highlight w:val="none"/>
        </w:rPr>
        <w:t>1</w:t>
      </w:r>
      <w:bookmarkEnd w:id="15"/>
      <w:r>
        <w:rPr>
          <w:rFonts w:hint="eastAsia" w:ascii="宋体" w:hAnsi="宋体" w:eastAsia="宋体" w:cs="宋体"/>
          <w:color w:val="auto"/>
          <w:sz w:val="28"/>
          <w:szCs w:val="28"/>
          <w:highlight w:val="none"/>
        </w:rPr>
        <w:t>.采购方式</w:t>
      </w:r>
      <w:bookmarkEnd w:id="16"/>
      <w:bookmarkEnd w:id="17"/>
      <w:bookmarkEnd w:id="18"/>
    </w:p>
    <w:p w14:paraId="60C4E268">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本次采购采取询价方式，本询价文件仅适用于询价公告中所述项目。</w:t>
      </w:r>
    </w:p>
    <w:p w14:paraId="7C2E984E">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bookmarkStart w:id="19" w:name="_Toc20823277"/>
      <w:bookmarkStart w:id="20" w:name="_Toc513029205"/>
      <w:bookmarkStart w:id="21" w:name="_Toc16938521"/>
      <w:r>
        <w:rPr>
          <w:rFonts w:hint="eastAsia" w:ascii="宋体" w:hAnsi="宋体" w:eastAsia="宋体" w:cs="宋体"/>
          <w:color w:val="auto"/>
          <w:sz w:val="28"/>
          <w:szCs w:val="28"/>
          <w:highlight w:val="none"/>
        </w:rPr>
        <w:t>2.合格的</w:t>
      </w:r>
      <w:bookmarkEnd w:id="19"/>
      <w:bookmarkEnd w:id="20"/>
      <w:bookmarkEnd w:id="21"/>
      <w:r>
        <w:rPr>
          <w:rFonts w:hint="eastAsia" w:ascii="宋体" w:hAnsi="宋体" w:eastAsia="宋体" w:cs="宋体"/>
          <w:color w:val="auto"/>
          <w:sz w:val="28"/>
          <w:szCs w:val="28"/>
          <w:highlight w:val="none"/>
        </w:rPr>
        <w:t>响应供应商</w:t>
      </w:r>
    </w:p>
    <w:p w14:paraId="2295D116">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2.1满足询价公告中供应商的资格要求的规定。</w:t>
      </w:r>
    </w:p>
    <w:p w14:paraId="6883106E">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2.2满足本文件实质性条款的规定。</w:t>
      </w:r>
    </w:p>
    <w:p w14:paraId="071A4B31">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bookmarkStart w:id="22" w:name="_Toc20823278"/>
      <w:bookmarkStart w:id="23" w:name="_Toc16938522"/>
      <w:bookmarkStart w:id="24" w:name="_Toc513029206"/>
      <w:r>
        <w:rPr>
          <w:rFonts w:hint="eastAsia" w:ascii="宋体" w:hAnsi="宋体" w:eastAsia="宋体" w:cs="宋体"/>
          <w:color w:val="auto"/>
          <w:sz w:val="28"/>
          <w:szCs w:val="28"/>
          <w:highlight w:val="none"/>
        </w:rPr>
        <w:t>3.适用法律</w:t>
      </w:r>
      <w:bookmarkEnd w:id="22"/>
      <w:bookmarkEnd w:id="23"/>
      <w:bookmarkEnd w:id="24"/>
    </w:p>
    <w:p w14:paraId="16C35A9D">
      <w:pPr>
        <w:keepNext w:val="0"/>
        <w:keepLines w:val="0"/>
        <w:pageBreakBefore w:val="0"/>
        <w:kinsoku/>
        <w:wordWrap/>
        <w:overflowPunct/>
        <w:topLinePunct w:val="0"/>
        <w:autoSpaceDE/>
        <w:autoSpaceDN/>
        <w:bidi w:val="0"/>
        <w:adjustRightInd w:val="0"/>
        <w:snapToGrid w:val="0"/>
        <w:spacing w:line="480" w:lineRule="exact"/>
        <w:ind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本次询价采购及由此产生的合同受中华人民共和国有关的法律法规制约和保护。</w:t>
      </w:r>
    </w:p>
    <w:p w14:paraId="5F77FB45">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bookmarkStart w:id="25" w:name="_Toc513029207"/>
      <w:bookmarkStart w:id="26" w:name="_Toc20823279"/>
      <w:bookmarkStart w:id="27" w:name="_Toc462564067"/>
      <w:bookmarkStart w:id="28" w:name="_Toc16938523"/>
      <w:r>
        <w:rPr>
          <w:rFonts w:hint="eastAsia" w:ascii="宋体" w:hAnsi="宋体" w:eastAsia="宋体" w:cs="宋体"/>
          <w:color w:val="auto"/>
          <w:sz w:val="28"/>
          <w:szCs w:val="28"/>
          <w:highlight w:val="none"/>
        </w:rPr>
        <w:t>4.响应费用</w:t>
      </w:r>
      <w:bookmarkEnd w:id="25"/>
      <w:bookmarkEnd w:id="26"/>
      <w:bookmarkEnd w:id="27"/>
      <w:bookmarkEnd w:id="28"/>
    </w:p>
    <w:p w14:paraId="18EF75CA">
      <w:pPr>
        <w:keepNext w:val="0"/>
        <w:keepLines w:val="0"/>
        <w:pageBreakBefore w:val="0"/>
        <w:kinsoku/>
        <w:wordWrap/>
        <w:overflowPunct/>
        <w:topLinePunct w:val="0"/>
        <w:autoSpaceDE/>
        <w:autoSpaceDN/>
        <w:bidi w:val="0"/>
        <w:adjustRightInd w:val="0"/>
        <w:snapToGrid w:val="0"/>
        <w:spacing w:line="480" w:lineRule="exact"/>
        <w:ind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响应供应商应自行承担所有与参加响应有关的费用，无论响应过程中的做法和结果如何，</w:t>
      </w:r>
      <w:r>
        <w:rPr>
          <w:rFonts w:hint="eastAsia" w:ascii="宋体" w:hAnsi="宋体" w:cs="宋体"/>
          <w:color w:val="auto"/>
          <w:sz w:val="28"/>
          <w:szCs w:val="28"/>
          <w:highlight w:val="none"/>
          <w:lang w:eastAsia="zh-CN"/>
        </w:rPr>
        <w:t>采购人</w:t>
      </w:r>
      <w:r>
        <w:rPr>
          <w:rFonts w:hint="eastAsia" w:ascii="宋体" w:hAnsi="宋体" w:eastAsia="宋体" w:cs="宋体"/>
          <w:color w:val="auto"/>
          <w:sz w:val="28"/>
          <w:szCs w:val="28"/>
          <w:highlight w:val="none"/>
        </w:rPr>
        <w:t>在任何情况下均无义务和责任承担这些费用。</w:t>
      </w:r>
    </w:p>
    <w:p w14:paraId="01FDEA1C">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5.采购文件的约束力</w:t>
      </w:r>
    </w:p>
    <w:p w14:paraId="050AD658">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响应供应商一旦参加本项目采购活动，即被认为接受了本询价采购文件的规定和约束。</w:t>
      </w:r>
    </w:p>
    <w:p w14:paraId="0BCD9ADB">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6.采购文件的解释</w:t>
      </w:r>
    </w:p>
    <w:p w14:paraId="69BA8675">
      <w:pPr>
        <w:keepNext w:val="0"/>
        <w:keepLines w:val="0"/>
        <w:pageBreakBefore w:val="0"/>
        <w:kinsoku/>
        <w:wordWrap/>
        <w:overflowPunct/>
        <w:topLinePunct w:val="0"/>
        <w:autoSpaceDE/>
        <w:autoSpaceDN/>
        <w:bidi w:val="0"/>
        <w:adjustRightInd w:val="0"/>
        <w:snapToGrid w:val="0"/>
        <w:spacing w:line="480" w:lineRule="exact"/>
        <w:ind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本采购文件仅适用于本次询价采购，项目需求部分（供应商资格要求、项目需求）由采购人解释，其他部分由</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解释。</w:t>
      </w:r>
    </w:p>
    <w:p w14:paraId="33C52F51">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7.报价要求</w:t>
      </w:r>
    </w:p>
    <w:p w14:paraId="4CDD3C65">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7.1</w:t>
      </w:r>
      <w:r>
        <w:rPr>
          <w:rFonts w:hint="eastAsia" w:ascii="宋体" w:hAnsi="宋体" w:cs="宋体"/>
          <w:color w:val="auto"/>
          <w:sz w:val="28"/>
          <w:szCs w:val="28"/>
          <w:highlight w:val="none"/>
        </w:rPr>
        <w:t>询价为一次性报价，响应供应商应一次性报出不得更改的价格</w:t>
      </w:r>
      <w:r>
        <w:rPr>
          <w:rFonts w:hint="eastAsia" w:ascii="宋体" w:hAnsi="宋体" w:cs="宋体"/>
          <w:color w:val="auto"/>
          <w:sz w:val="28"/>
          <w:szCs w:val="28"/>
          <w:highlight w:val="none"/>
          <w:lang w:eastAsia="zh-CN"/>
        </w:rPr>
        <w:t>。</w:t>
      </w:r>
    </w:p>
    <w:p w14:paraId="733AF280">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7.2采购人不接受任何可选择的报价，成交供应商不得在供货期间提出任何增加费用的要求。请各供应商在报价时充分考虑各种因素。</w:t>
      </w:r>
    </w:p>
    <w:p w14:paraId="7322657E">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7.3</w:t>
      </w:r>
      <w:r>
        <w:rPr>
          <w:rFonts w:hint="eastAsia" w:ascii="宋体" w:hAnsi="宋体" w:eastAsia="宋体" w:cs="宋体"/>
          <w:bCs/>
          <w:color w:val="auto"/>
          <w:sz w:val="28"/>
          <w:szCs w:val="28"/>
          <w:highlight w:val="none"/>
        </w:rPr>
        <w:t>（一）评审过程中出现下列情形之一的，询价小组应当启动异常低价投标（响应）审查程序：</w:t>
      </w:r>
    </w:p>
    <w:p w14:paraId="099C953A">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1．投标（响应）报价低于采购项目预算50% 的，即投标（响应）报价&lt;采购项目预算×50% ；</w:t>
      </w:r>
    </w:p>
    <w:p w14:paraId="57158EB0">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2．投标（响应）报价低于采购项目最高限价45% 的，即投标（响应）报价&lt;采购项目最高限价×45% ；</w:t>
      </w:r>
    </w:p>
    <w:p w14:paraId="710FCDC0">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3．询价小组认定的供应商报价过低、有可能影响产品质量或者不能诚信履约的其他情形。</w:t>
      </w:r>
    </w:p>
    <w:p w14:paraId="06553A76">
      <w:pPr>
        <w:adjustRightInd w:val="0"/>
        <w:snapToGrid w:val="0"/>
        <w:spacing w:line="500" w:lineRule="exact"/>
        <w:ind w:firstLine="560" w:firstLineChars="200"/>
        <w:rPr>
          <w:rFonts w:eastAsia="方正仿宋_GBK"/>
          <w:bCs/>
          <w:sz w:val="28"/>
          <w:szCs w:val="28"/>
        </w:rPr>
      </w:pPr>
      <w:r>
        <w:rPr>
          <w:rFonts w:hint="eastAsia" w:ascii="宋体" w:hAnsi="宋体" w:eastAsia="宋体" w:cs="宋体"/>
          <w:bCs/>
          <w:color w:val="auto"/>
          <w:sz w:val="28"/>
          <w:szCs w:val="28"/>
          <w:highlight w:val="none"/>
        </w:rPr>
        <w:t>（二）启动异常低价投标（响应）审查后，询价小组应当要求相关供应商在合理的时间提供项目具体成本测算等与报价合理性相关的书面说明及相关证明材料，对投标（响应）价格作出解释，由询价小组结合同类产品在主要电商平台的价格、该行业当地薪资水平等情况，依据专业经验对供应商报价合理性进行判断。投标（响应）供应商不提供书面说明、证明材料，或者提供的书面说明、证明材料不能证明其报价合理性的，询价小组应当将其作为无效投标（响应）处理。审查相关情况应当在评审报告中进行记录。</w:t>
      </w:r>
    </w:p>
    <w:p w14:paraId="492B5CBA">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二、采购文件</w:t>
      </w:r>
    </w:p>
    <w:p w14:paraId="1F911AD9">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1.采购文件的构成</w:t>
      </w:r>
    </w:p>
    <w:p w14:paraId="1CBFB10E">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采购文件由以下部分组成：</w:t>
      </w:r>
    </w:p>
    <w:p w14:paraId="00F81EBC">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（1）询价采购公告</w:t>
      </w:r>
    </w:p>
    <w:p w14:paraId="49BFD210">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（2）响应须知</w:t>
      </w:r>
    </w:p>
    <w:p w14:paraId="5EEA7964">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（3）项目需求</w:t>
      </w:r>
    </w:p>
    <w:p w14:paraId="643FE4DE">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（4）响应文件格式</w:t>
      </w:r>
    </w:p>
    <w:p w14:paraId="023BF5F0">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（5）附件</w:t>
      </w:r>
    </w:p>
    <w:p w14:paraId="5156B122">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请响应供应商仔细检查采购文件是否齐全，如有缺漏请立即与</w:t>
      </w:r>
      <w:r>
        <w:rPr>
          <w:rFonts w:hint="eastAsia" w:ascii="宋体" w:hAnsi="宋体" w:cs="宋体"/>
          <w:color w:val="auto"/>
          <w:sz w:val="28"/>
          <w:szCs w:val="28"/>
          <w:highlight w:val="none"/>
          <w:lang w:eastAsia="zh-CN"/>
        </w:rPr>
        <w:t>采购人</w:t>
      </w:r>
      <w:r>
        <w:rPr>
          <w:rFonts w:hint="eastAsia" w:ascii="宋体" w:hAnsi="宋体" w:eastAsia="宋体" w:cs="宋体"/>
          <w:color w:val="auto"/>
          <w:sz w:val="28"/>
          <w:szCs w:val="28"/>
          <w:highlight w:val="none"/>
        </w:rPr>
        <w:t>联系解决。</w:t>
      </w:r>
    </w:p>
    <w:p w14:paraId="05D640FF">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1.2</w:t>
      </w:r>
      <w:r>
        <w:rPr>
          <w:rFonts w:hint="eastAsia" w:ascii="宋体" w:hAnsi="宋体" w:eastAsia="宋体" w:cs="宋体"/>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07882060">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2.询价采购文件的澄清</w:t>
      </w:r>
    </w:p>
    <w:p w14:paraId="0C4EBD06">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14:paraId="43B640DB">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bookmarkStart w:id="29" w:name="_Toc16938528"/>
      <w:bookmarkStart w:id="30" w:name="_Toc462564071"/>
      <w:bookmarkStart w:id="31" w:name="_Toc513029212"/>
      <w:bookmarkStart w:id="32" w:name="_Toc20823284"/>
      <w:r>
        <w:rPr>
          <w:rFonts w:hint="eastAsia" w:ascii="宋体" w:hAnsi="宋体" w:eastAsia="宋体" w:cs="宋体"/>
          <w:color w:val="auto"/>
          <w:sz w:val="28"/>
          <w:szCs w:val="28"/>
          <w:highlight w:val="none"/>
        </w:rPr>
        <w:t>3.询价采购文件的修改</w:t>
      </w:r>
      <w:bookmarkEnd w:id="29"/>
      <w:bookmarkEnd w:id="30"/>
      <w:bookmarkEnd w:id="31"/>
      <w:bookmarkEnd w:id="32"/>
    </w:p>
    <w:p w14:paraId="41E2FBCF">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3.1</w:t>
      </w:r>
      <w:r>
        <w:rPr>
          <w:rFonts w:hint="eastAsia" w:ascii="宋体" w:hAnsi="宋体" w:eastAsia="宋体" w:cs="宋体"/>
          <w:color w:val="auto"/>
          <w:sz w:val="28"/>
          <w:szCs w:val="28"/>
          <w:highlight w:val="none"/>
        </w:rPr>
        <w:t>在响应截止时间前，</w:t>
      </w:r>
      <w:r>
        <w:rPr>
          <w:rFonts w:hint="eastAsia" w:ascii="宋体" w:hAnsi="宋体" w:cs="宋体"/>
          <w:color w:val="auto"/>
          <w:sz w:val="28"/>
          <w:szCs w:val="28"/>
          <w:highlight w:val="none"/>
          <w:lang w:eastAsia="zh-CN"/>
        </w:rPr>
        <w:t>采购人</w:t>
      </w:r>
      <w:r>
        <w:rPr>
          <w:rFonts w:hint="eastAsia" w:ascii="宋体" w:hAnsi="宋体" w:eastAsia="宋体" w:cs="宋体"/>
          <w:color w:val="auto"/>
          <w:sz w:val="28"/>
          <w:szCs w:val="28"/>
          <w:highlight w:val="none"/>
        </w:rPr>
        <w:t>可以对采购文件进行修改。</w:t>
      </w:r>
    </w:p>
    <w:p w14:paraId="3BE2FD68">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3.2 </w:t>
      </w:r>
      <w:r>
        <w:rPr>
          <w:rFonts w:hint="eastAsia" w:ascii="宋体" w:hAnsi="宋体" w:cs="宋体"/>
          <w:color w:val="auto"/>
          <w:sz w:val="28"/>
          <w:szCs w:val="28"/>
          <w:highlight w:val="none"/>
          <w:lang w:eastAsia="zh-CN"/>
        </w:rPr>
        <w:t>采购人</w:t>
      </w:r>
      <w:r>
        <w:rPr>
          <w:rFonts w:hint="eastAsia" w:ascii="宋体" w:hAnsi="宋体" w:eastAsia="宋体" w:cs="宋体"/>
          <w:color w:val="auto"/>
          <w:sz w:val="28"/>
          <w:szCs w:val="28"/>
          <w:highlight w:val="none"/>
        </w:rPr>
        <w:t>有权按照法定的要求推迟响应截止日期和开标日期。</w:t>
      </w:r>
    </w:p>
    <w:p w14:paraId="0E204405">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3.3 </w:t>
      </w:r>
      <w:r>
        <w:rPr>
          <w:rFonts w:hint="eastAsia" w:ascii="宋体" w:hAnsi="宋体" w:eastAsia="宋体" w:cs="宋体"/>
          <w:color w:val="auto"/>
          <w:sz w:val="28"/>
          <w:szCs w:val="28"/>
          <w:highlight w:val="none"/>
        </w:rPr>
        <w:t>采购文件的修改将在</w:t>
      </w:r>
      <w:r>
        <w:rPr>
          <w:rFonts w:hint="eastAsia" w:ascii="宋体" w:hAnsi="宋体" w:cs="宋体"/>
          <w:color w:val="auto"/>
          <w:sz w:val="28"/>
          <w:szCs w:val="28"/>
          <w:highlight w:val="none"/>
          <w:lang w:val="en-US" w:eastAsia="zh-CN"/>
        </w:rPr>
        <w:t>启东市吕四自来水厂有限公司网站（https://www.qdlszlsc.com）</w:t>
      </w:r>
      <w:r>
        <w:rPr>
          <w:rFonts w:hint="eastAsia" w:ascii="宋体" w:hAnsi="宋体" w:eastAsia="宋体" w:cs="宋体"/>
          <w:color w:val="auto"/>
          <w:sz w:val="28"/>
          <w:szCs w:val="28"/>
          <w:highlight w:val="none"/>
        </w:rPr>
        <w:t>公布，补充文件将作为采购文件的组成部分，并对响应供应商具有约束力，请供应商及时关注网站公告信息。</w:t>
      </w:r>
    </w:p>
    <w:p w14:paraId="06DE2101">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三、响应文件的编制</w:t>
      </w:r>
    </w:p>
    <w:p w14:paraId="12A4C4C9">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bCs/>
          <w:color w:val="auto"/>
          <w:sz w:val="28"/>
          <w:szCs w:val="28"/>
          <w:highlight w:val="none"/>
        </w:rPr>
      </w:pPr>
      <w:bookmarkStart w:id="33" w:name="_Toc462564073"/>
      <w:bookmarkStart w:id="34" w:name="_Toc513029214"/>
      <w:bookmarkStart w:id="35" w:name="_Toc16938530"/>
      <w:bookmarkStart w:id="36" w:name="_Toc20823286"/>
      <w:r>
        <w:rPr>
          <w:rFonts w:hint="eastAsia" w:ascii="宋体" w:hAnsi="宋体" w:eastAsia="宋体" w:cs="宋体"/>
          <w:bCs/>
          <w:color w:val="auto"/>
          <w:sz w:val="28"/>
          <w:szCs w:val="28"/>
          <w:highlight w:val="none"/>
        </w:rPr>
        <w:t>1.响应文件的语言及度量衡单位</w:t>
      </w:r>
      <w:bookmarkEnd w:id="33"/>
      <w:bookmarkEnd w:id="34"/>
      <w:bookmarkEnd w:id="35"/>
      <w:bookmarkEnd w:id="36"/>
    </w:p>
    <w:p w14:paraId="561E06F2">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 响应供应商提交的响应文件以及响应供应商与</w:t>
      </w:r>
      <w:r>
        <w:rPr>
          <w:rFonts w:hint="eastAsia" w:ascii="宋体" w:hAnsi="宋体" w:cs="宋体"/>
          <w:bCs/>
          <w:color w:val="auto"/>
          <w:sz w:val="28"/>
          <w:szCs w:val="28"/>
          <w:highlight w:val="none"/>
          <w:lang w:eastAsia="zh-CN"/>
        </w:rPr>
        <w:t>采购人</w:t>
      </w:r>
      <w:r>
        <w:rPr>
          <w:rFonts w:hint="eastAsia" w:ascii="宋体" w:hAnsi="宋体" w:eastAsia="宋体" w:cs="宋体"/>
          <w:bCs/>
          <w:color w:val="auto"/>
          <w:sz w:val="28"/>
          <w:szCs w:val="28"/>
          <w:highlight w:val="none"/>
        </w:rPr>
        <w:t>就有关响应的所有来往通知、函件和文件均应使用简体中文。</w:t>
      </w:r>
    </w:p>
    <w:p w14:paraId="58FD4708">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 除技术性能另有规定外，响应文件所使用的度量衡单位，均须采用国家法定计量单位。</w:t>
      </w:r>
    </w:p>
    <w:p w14:paraId="079AE4F0">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bCs/>
          <w:color w:val="auto"/>
          <w:sz w:val="28"/>
          <w:szCs w:val="28"/>
          <w:highlight w:val="none"/>
        </w:rPr>
      </w:pPr>
      <w:bookmarkStart w:id="37" w:name="_Toc20823287"/>
      <w:bookmarkStart w:id="38" w:name="_Toc16938531"/>
      <w:bookmarkStart w:id="39" w:name="_Toc513029215"/>
      <w:bookmarkStart w:id="40" w:name="_Toc462564074"/>
      <w:r>
        <w:rPr>
          <w:rFonts w:hint="eastAsia" w:ascii="宋体" w:hAnsi="宋体" w:eastAsia="宋体" w:cs="宋体"/>
          <w:bCs/>
          <w:color w:val="auto"/>
          <w:sz w:val="28"/>
          <w:szCs w:val="28"/>
          <w:highlight w:val="none"/>
        </w:rPr>
        <w:t>2.响应文件构成</w:t>
      </w:r>
      <w:bookmarkEnd w:id="37"/>
      <w:bookmarkEnd w:id="38"/>
      <w:bookmarkEnd w:id="39"/>
      <w:bookmarkEnd w:id="40"/>
    </w:p>
    <w:p w14:paraId="5C4D754C">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响应供应商应按“第四部分响应文件格式”要求编写响应文件。</w:t>
      </w:r>
    </w:p>
    <w:p w14:paraId="089FC786">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bookmarkStart w:id="41" w:name="_Hlt26670360"/>
      <w:bookmarkEnd w:id="41"/>
      <w:bookmarkStart w:id="42" w:name="_Hlt26668975"/>
      <w:bookmarkEnd w:id="42"/>
      <w:bookmarkStart w:id="43" w:name="_Hlt26954838"/>
      <w:bookmarkEnd w:id="43"/>
      <w:bookmarkStart w:id="44" w:name="_Toc49090511"/>
      <w:bookmarkStart w:id="45" w:name="_Toc14577360"/>
      <w:r>
        <w:rPr>
          <w:rFonts w:hint="eastAsia" w:ascii="宋体" w:hAnsi="宋体" w:eastAsia="宋体" w:cs="宋体"/>
          <w:color w:val="auto"/>
          <w:sz w:val="28"/>
          <w:szCs w:val="28"/>
          <w:highlight w:val="none"/>
        </w:rPr>
        <w:t>3.</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文件的密封、签署、提交</w:t>
      </w:r>
    </w:p>
    <w:p w14:paraId="3C72715F">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文件必须提供1份正本2份副本。</w:t>
      </w:r>
    </w:p>
    <w:p w14:paraId="4F7844B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cs="宋体"/>
          <w:color w:val="auto"/>
          <w:sz w:val="28"/>
          <w:szCs w:val="28"/>
          <w:highlight w:val="none"/>
          <w:lang w:val="en-US" w:eastAsia="zh-CN"/>
        </w:rPr>
        <w:t>2</w:t>
      </w:r>
      <w:r>
        <w:rPr>
          <w:rFonts w:ascii="宋体" w:hAnsi="宋体" w:eastAsia="宋体" w:cs="宋体"/>
          <w:color w:val="auto"/>
          <w:spacing w:val="0"/>
          <w:sz w:val="28"/>
          <w:szCs w:val="28"/>
          <w:highlight w:val="none"/>
        </w:rPr>
        <w:t>响应文件统一采用</w:t>
      </w:r>
      <w:r>
        <w:rPr>
          <w:rFonts w:hint="eastAsia" w:ascii="宋体" w:hAnsi="宋体" w:eastAsia="宋体" w:cs="宋体"/>
          <w:color w:val="auto"/>
          <w:spacing w:val="0"/>
          <w:sz w:val="28"/>
          <w:szCs w:val="28"/>
          <w:highlight w:val="none"/>
          <w:lang w:val="en-US" w:eastAsia="zh-CN"/>
        </w:rPr>
        <w:t>现场</w:t>
      </w:r>
      <w:r>
        <w:rPr>
          <w:rFonts w:ascii="宋体" w:hAnsi="宋体" w:eastAsia="宋体" w:cs="宋体"/>
          <w:color w:val="auto"/>
          <w:spacing w:val="0"/>
          <w:sz w:val="28"/>
          <w:szCs w:val="28"/>
          <w:highlight w:val="none"/>
        </w:rPr>
        <w:t>提交。</w:t>
      </w:r>
    </w:p>
    <w:p w14:paraId="623EB390">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cs="宋体"/>
          <w:bCs/>
          <w:color w:val="auto"/>
          <w:sz w:val="28"/>
          <w:szCs w:val="28"/>
          <w:highlight w:val="none"/>
          <w:lang w:val="en-US" w:eastAsia="zh-CN"/>
        </w:rPr>
        <w:t>3.3</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文件均需采用A4纸（图纸等除外）打印并装订成册，不允许使用活页夹、拉杆夹、文件夹、塑料方便式书脊（插入式或穿孔式）装订，并应在</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文件封面的右上角清楚地注明“正本”或“副本”。正本和副本如有不一致之处，以正本为准。</w:t>
      </w:r>
    </w:p>
    <w:p w14:paraId="67901438">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供应商应在响应文件密封袋上标明：采购人名称、项目名称、供应商名称</w:t>
      </w:r>
      <w:r>
        <w:rPr>
          <w:rFonts w:hint="eastAsia" w:ascii="宋体" w:hAnsi="宋体" w:eastAsia="宋体" w:cs="宋体"/>
          <w:color w:val="auto"/>
          <w:sz w:val="28"/>
          <w:szCs w:val="28"/>
          <w:highlight w:val="none"/>
          <w:lang w:eastAsia="zh-CN"/>
        </w:rPr>
        <w:t>、响应文件名称</w:t>
      </w:r>
      <w:r>
        <w:rPr>
          <w:rFonts w:hint="eastAsia" w:ascii="宋体" w:hAnsi="宋体" w:eastAsia="宋体" w:cs="宋体"/>
          <w:color w:val="auto"/>
          <w:sz w:val="28"/>
          <w:szCs w:val="28"/>
          <w:highlight w:val="none"/>
        </w:rPr>
        <w:t>。</w:t>
      </w:r>
    </w:p>
    <w:p w14:paraId="3B73E6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供应商的响应文件分二包密封，一包资格审查证明材料文件、一包价格标(每包内含相应文件正副本);投标人必须将资格审查证明材料文件</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价格标分开封装。</w:t>
      </w:r>
    </w:p>
    <w:p w14:paraId="53AB921B">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所有</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文件密封袋的封口处均应加盖供应商印章。</w:t>
      </w:r>
    </w:p>
    <w:p w14:paraId="08DE4E6F">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如果</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供应商未按上述要求装订密封及加写标记，将作无效</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文件处理。</w:t>
      </w:r>
    </w:p>
    <w:p w14:paraId="5C3651D3">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4.响应文件的盖章要求</w:t>
      </w:r>
    </w:p>
    <w:p w14:paraId="3E136DA0">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4.1</w:t>
      </w:r>
      <w:r>
        <w:rPr>
          <w:rFonts w:hint="eastAsia" w:ascii="宋体" w:hAnsi="宋体" w:eastAsia="宋体" w:cs="宋体"/>
          <w:color w:val="auto"/>
          <w:sz w:val="28"/>
          <w:szCs w:val="28"/>
          <w:highlight w:val="none"/>
        </w:rPr>
        <w:t>响应文件必须加盖骑缝章或每页盖章。</w:t>
      </w:r>
    </w:p>
    <w:p w14:paraId="3603A32C">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4.2</w:t>
      </w:r>
      <w:r>
        <w:rPr>
          <w:rFonts w:hint="eastAsia" w:ascii="宋体" w:hAnsi="宋体" w:eastAsia="宋体" w:cs="宋体"/>
          <w:color w:val="auto"/>
          <w:sz w:val="28"/>
          <w:szCs w:val="28"/>
          <w:highlight w:val="none"/>
        </w:rPr>
        <w:t>响应文件如有修改、行间内插字和增删，修改处应由</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供应商加盖印章。</w:t>
      </w:r>
    </w:p>
    <w:p w14:paraId="60AC6709">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4.3响应</w:t>
      </w:r>
      <w:r>
        <w:rPr>
          <w:rFonts w:hint="eastAsia" w:ascii="宋体" w:hAnsi="宋体" w:eastAsia="宋体" w:cs="宋体"/>
          <w:color w:val="auto"/>
          <w:sz w:val="28"/>
          <w:szCs w:val="28"/>
          <w:highlight w:val="none"/>
        </w:rPr>
        <w:t>文件均需打印并装订成册，签字使用不褪色的蓝、黑墨水笔书写，字迹应清晰易于辨认，如因</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文件字迹潦草或表达不清所引起的后果由响应</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负责。响应</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应在</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文件封面的右上角清楚地注明“正本”或“副本”，正本和副本如有不一致之处，以正本为准。</w:t>
      </w:r>
    </w:p>
    <w:p w14:paraId="7FA4CE04">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cs="宋体"/>
          <w:bCs/>
          <w:color w:val="auto"/>
          <w:sz w:val="28"/>
          <w:szCs w:val="28"/>
          <w:highlight w:val="none"/>
          <w:lang w:val="en-US" w:eastAsia="zh-CN"/>
        </w:rPr>
        <w:t>5</w:t>
      </w:r>
      <w:r>
        <w:rPr>
          <w:rFonts w:hint="eastAsia" w:ascii="宋体" w:hAnsi="宋体" w:eastAsia="宋体" w:cs="宋体"/>
          <w:bCs/>
          <w:color w:val="auto"/>
          <w:sz w:val="28"/>
          <w:szCs w:val="28"/>
          <w:highlight w:val="none"/>
        </w:rPr>
        <w:t>.响应有效期</w:t>
      </w:r>
      <w:bookmarkEnd w:id="44"/>
      <w:bookmarkEnd w:id="45"/>
    </w:p>
    <w:p w14:paraId="70805B92">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响应文件和响应供应商法定代表人或其授权委托人签署的文件、资料的有效期为自开标之日起60个日历日。</w:t>
      </w:r>
      <w:r>
        <w:rPr>
          <w:rFonts w:hint="eastAsia" w:ascii="宋体" w:hAnsi="宋体" w:eastAsia="宋体" w:cs="宋体"/>
          <w:bCs/>
          <w:color w:val="auto"/>
          <w:sz w:val="28"/>
          <w:szCs w:val="28"/>
          <w:highlight w:val="none"/>
        </w:rPr>
        <w:t>响应有效期比规定短的将被视为非响应性响应而予以拒绝。</w:t>
      </w:r>
    </w:p>
    <w:p w14:paraId="0745F471">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cs="宋体"/>
          <w:bCs/>
          <w:color w:val="auto"/>
          <w:sz w:val="28"/>
          <w:szCs w:val="28"/>
          <w:highlight w:val="none"/>
          <w:lang w:val="en-US" w:eastAsia="zh-CN"/>
        </w:rPr>
        <w:t>6</w:t>
      </w:r>
      <w:r>
        <w:rPr>
          <w:rFonts w:hint="eastAsia" w:ascii="宋体" w:hAnsi="宋体" w:eastAsia="宋体" w:cs="宋体"/>
          <w:bCs/>
          <w:color w:val="auto"/>
          <w:sz w:val="28"/>
          <w:szCs w:val="28"/>
          <w:highlight w:val="none"/>
        </w:rPr>
        <w:t>.响应有效期的延长</w:t>
      </w:r>
    </w:p>
    <w:p w14:paraId="21BF4508">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在特殊情况下，</w:t>
      </w:r>
      <w:r>
        <w:rPr>
          <w:rFonts w:hint="eastAsia" w:ascii="宋体" w:hAnsi="宋体" w:cs="宋体"/>
          <w:bCs/>
          <w:color w:val="auto"/>
          <w:sz w:val="28"/>
          <w:szCs w:val="28"/>
          <w:highlight w:val="none"/>
          <w:lang w:eastAsia="zh-CN"/>
        </w:rPr>
        <w:t>采购人</w:t>
      </w:r>
      <w:r>
        <w:rPr>
          <w:rFonts w:hint="eastAsia" w:ascii="宋体" w:hAnsi="宋体" w:eastAsia="宋体" w:cs="宋体"/>
          <w:bCs/>
          <w:color w:val="auto"/>
          <w:sz w:val="28"/>
          <w:szCs w:val="28"/>
          <w:highlight w:val="none"/>
        </w:rPr>
        <w:t>于原响应有效期满之前，可向响应供应商提出延长响应有效期的要求。这种要求与答复均应采用书面形式。响应供应商可以拒绝</w:t>
      </w:r>
      <w:r>
        <w:rPr>
          <w:rFonts w:hint="eastAsia" w:ascii="宋体" w:hAnsi="宋体" w:cs="宋体"/>
          <w:bCs/>
          <w:color w:val="auto"/>
          <w:sz w:val="28"/>
          <w:szCs w:val="28"/>
          <w:highlight w:val="none"/>
          <w:lang w:eastAsia="zh-CN"/>
        </w:rPr>
        <w:t>采购人</w:t>
      </w:r>
      <w:r>
        <w:rPr>
          <w:rFonts w:hint="eastAsia" w:ascii="宋体" w:hAnsi="宋体" w:eastAsia="宋体" w:cs="宋体"/>
          <w:bCs/>
          <w:color w:val="auto"/>
          <w:sz w:val="28"/>
          <w:szCs w:val="28"/>
          <w:highlight w:val="none"/>
        </w:rPr>
        <w:t>的这一要求而放弃响应，同意延长响应有效期的响应供应商既不能要求也不允许修改其响应文件。受响应有效期约束的所有权利与义务均延长至新的有效期。</w:t>
      </w:r>
    </w:p>
    <w:p w14:paraId="41C7FD4D">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四、响应文件的递交</w:t>
      </w:r>
    </w:p>
    <w:p w14:paraId="187275AF">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bCs/>
          <w:color w:val="auto"/>
          <w:sz w:val="28"/>
          <w:szCs w:val="28"/>
          <w:highlight w:val="none"/>
        </w:rPr>
      </w:pPr>
      <w:bookmarkStart w:id="46" w:name="_Toc513029227"/>
      <w:bookmarkStart w:id="47" w:name="_Toc16938543"/>
      <w:bookmarkStart w:id="48" w:name="_Toc20823299"/>
      <w:r>
        <w:rPr>
          <w:rFonts w:hint="eastAsia" w:ascii="宋体" w:hAnsi="宋体" w:eastAsia="宋体" w:cs="宋体"/>
          <w:bCs/>
          <w:color w:val="auto"/>
          <w:sz w:val="28"/>
          <w:szCs w:val="28"/>
          <w:highlight w:val="none"/>
        </w:rPr>
        <w:t>1.响应文件的递交</w:t>
      </w:r>
    </w:p>
    <w:p w14:paraId="728B305F">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1.1响应供应商应当在响应文件提交截止时间前</w:t>
      </w:r>
      <w:r>
        <w:rPr>
          <w:rFonts w:hint="eastAsia" w:ascii="宋体" w:hAnsi="宋体" w:eastAsia="宋体" w:cs="宋体"/>
          <w:color w:val="auto"/>
          <w:sz w:val="28"/>
          <w:szCs w:val="28"/>
          <w:highlight w:val="none"/>
          <w:lang w:eastAsia="zh-CN"/>
        </w:rPr>
        <w:t>提交按照采购文件要求密封的</w:t>
      </w:r>
      <w:r>
        <w:rPr>
          <w:rFonts w:hint="eastAsia" w:ascii="宋体" w:hAnsi="宋体" w:eastAsia="宋体" w:cs="宋体"/>
          <w:color w:val="auto"/>
          <w:sz w:val="28"/>
          <w:szCs w:val="28"/>
          <w:highlight w:val="none"/>
        </w:rPr>
        <w:t>响应文件。</w:t>
      </w:r>
    </w:p>
    <w:p w14:paraId="4857D88D">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响应文件的内容不清楚或不清晰的，造成无法评审或部分影响评审的，导致评审差错的，责任由供应商自负。</w:t>
      </w:r>
    </w:p>
    <w:p w14:paraId="11744A2C">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2.响应截止日期</w:t>
      </w:r>
    </w:p>
    <w:p w14:paraId="2C0D25A1">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2.1 </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w:t>
      </w:r>
      <w:r>
        <w:rPr>
          <w:rFonts w:hint="eastAsia" w:ascii="宋体" w:hAnsi="宋体" w:eastAsia="宋体" w:cs="宋体"/>
          <w:color w:val="auto"/>
          <w:sz w:val="28"/>
          <w:szCs w:val="28"/>
          <w:highlight w:val="none"/>
          <w:lang w:eastAsia="zh-CN"/>
        </w:rPr>
        <w:t>提交的</w:t>
      </w:r>
      <w:r>
        <w:rPr>
          <w:rFonts w:hint="eastAsia" w:ascii="宋体" w:hAnsi="宋体" w:eastAsia="宋体" w:cs="宋体"/>
          <w:color w:val="auto"/>
          <w:sz w:val="28"/>
          <w:szCs w:val="28"/>
          <w:highlight w:val="none"/>
        </w:rPr>
        <w:t>响应文件的时间不得迟于采购公告中规定的响应文件提交截止时间。</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供应商应充分考虑天气、路程等因素，如因供应商自身原因造成的</w:t>
      </w:r>
      <w:r>
        <w:rPr>
          <w:rFonts w:hint="eastAsia" w:ascii="宋体" w:hAnsi="宋体" w:eastAsia="宋体" w:cs="宋体"/>
          <w:color w:val="auto"/>
          <w:sz w:val="28"/>
          <w:szCs w:val="28"/>
          <w:highlight w:val="none"/>
          <w:lang w:eastAsia="zh-CN"/>
        </w:rPr>
        <w:t>后果</w:t>
      </w:r>
      <w:r>
        <w:rPr>
          <w:rFonts w:hint="eastAsia" w:ascii="宋体" w:hAnsi="宋体" w:eastAsia="宋体" w:cs="宋体"/>
          <w:color w:val="auto"/>
          <w:sz w:val="28"/>
          <w:szCs w:val="28"/>
          <w:highlight w:val="none"/>
        </w:rPr>
        <w:t>由</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供应商自行承担全部责任。</w:t>
      </w:r>
    </w:p>
    <w:p w14:paraId="75CF1CC6">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2.2 </w:t>
      </w:r>
      <w:r>
        <w:rPr>
          <w:rFonts w:hint="eastAsia" w:ascii="宋体" w:hAnsi="宋体" w:eastAsia="宋体" w:cs="宋体"/>
          <w:color w:val="auto"/>
          <w:sz w:val="28"/>
          <w:szCs w:val="28"/>
          <w:highlight w:val="none"/>
          <w:lang w:eastAsia="zh-CN"/>
        </w:rPr>
        <w:t>采购人可以按照规定，通过修改响应文件酌情延长响应文件提交截止日期，在此情况下，响应供应商的所有权利和义务以及响应供应商受制的截止日期均应以延长后新的截止日期为准</w:t>
      </w:r>
      <w:r>
        <w:rPr>
          <w:rFonts w:hint="eastAsia" w:ascii="宋体" w:hAnsi="宋体" w:eastAsia="宋体" w:cs="宋体"/>
          <w:color w:val="auto"/>
          <w:sz w:val="28"/>
          <w:szCs w:val="28"/>
          <w:highlight w:val="none"/>
        </w:rPr>
        <w:t>。</w:t>
      </w:r>
    </w:p>
    <w:bookmarkEnd w:id="46"/>
    <w:bookmarkEnd w:id="47"/>
    <w:bookmarkEnd w:id="48"/>
    <w:p w14:paraId="1521348A">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3.响应文件的拒收</w:t>
      </w:r>
    </w:p>
    <w:p w14:paraId="245394A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bookmarkStart w:id="49" w:name="_Toc20823300"/>
      <w:bookmarkStart w:id="50" w:name="_Toc16938544"/>
      <w:bookmarkStart w:id="51" w:name="_Toc513029228"/>
      <w:r>
        <w:rPr>
          <w:rFonts w:ascii="宋体" w:hAnsi="宋体" w:eastAsia="宋体" w:cs="宋体"/>
          <w:color w:val="auto"/>
          <w:spacing w:val="0"/>
          <w:sz w:val="28"/>
          <w:szCs w:val="28"/>
          <w:highlight w:val="none"/>
        </w:rPr>
        <w:t>采购人拒绝接收未按照采购文件要求密封的响应文件，拒绝接收在响应文件接收截止时间后送达的响应文件。</w:t>
      </w:r>
    </w:p>
    <w:p w14:paraId="0D055549">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4.响应文件的修改</w:t>
      </w:r>
      <w:bookmarkEnd w:id="49"/>
      <w:bookmarkEnd w:id="50"/>
      <w:bookmarkEnd w:id="51"/>
    </w:p>
    <w:p w14:paraId="1EE6E924">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4.1 在响应文件提交截止时间之后，响应供应商不得对其响应文件作任何修改。</w:t>
      </w:r>
    </w:p>
    <w:p w14:paraId="44FD216C">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4.2 在响应文件提交截止时间至采购文件中规定的响应有效期满之间的这段时间内，响应供应商不得撤回其响应。</w:t>
      </w:r>
    </w:p>
    <w:p w14:paraId="77D862E4">
      <w:pPr>
        <w:keepNext w:val="0"/>
        <w:keepLines w:val="0"/>
        <w:pageBreakBefore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五、询价采购程序</w:t>
      </w:r>
    </w:p>
    <w:p w14:paraId="4356BA2A">
      <w:pPr>
        <w:keepNext w:val="0"/>
        <w:keepLines w:val="0"/>
        <w:pageBreakBefore w:val="0"/>
        <w:kinsoku/>
        <w:wordWrap/>
        <w:overflowPunct/>
        <w:topLinePunct w:val="0"/>
        <w:autoSpaceDE/>
        <w:autoSpaceDN/>
        <w:bidi w:val="0"/>
        <w:adjustRightInd w:val="0"/>
        <w:snapToGrid w:val="0"/>
        <w:spacing w:line="480" w:lineRule="exact"/>
        <w:ind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1.询价小组</w:t>
      </w:r>
    </w:p>
    <w:p w14:paraId="7130C87A">
      <w:pPr>
        <w:keepNext w:val="0"/>
        <w:keepLines w:val="0"/>
        <w:pageBreakBefore w:val="0"/>
        <w:kinsoku/>
        <w:wordWrap/>
        <w:overflowPunct/>
        <w:topLinePunct w:val="0"/>
        <w:autoSpaceDE/>
        <w:autoSpaceDN/>
        <w:bidi w:val="0"/>
        <w:adjustRightInd w:val="0"/>
        <w:snapToGrid w:val="0"/>
        <w:spacing w:line="480" w:lineRule="exact"/>
        <w:ind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开标后，</w:t>
      </w:r>
      <w:r>
        <w:rPr>
          <w:rFonts w:hint="eastAsia" w:ascii="宋体" w:hAnsi="宋体" w:cs="宋体"/>
          <w:color w:val="auto"/>
          <w:sz w:val="28"/>
          <w:szCs w:val="28"/>
          <w:highlight w:val="none"/>
          <w:lang w:eastAsia="zh-CN"/>
        </w:rPr>
        <w:t>采购人</w:t>
      </w:r>
      <w:r>
        <w:rPr>
          <w:rFonts w:hint="eastAsia" w:ascii="宋体" w:hAnsi="宋体" w:eastAsia="宋体" w:cs="宋体"/>
          <w:color w:val="auto"/>
          <w:sz w:val="28"/>
          <w:szCs w:val="28"/>
          <w:highlight w:val="none"/>
        </w:rPr>
        <w:t>将立即组织询价小组进行评标。</w:t>
      </w:r>
    </w:p>
    <w:p w14:paraId="7787EDBF">
      <w:pPr>
        <w:keepNext w:val="0"/>
        <w:keepLines w:val="0"/>
        <w:pageBreakBefore w:val="0"/>
        <w:kinsoku/>
        <w:wordWrap/>
        <w:overflowPunct/>
        <w:topLinePunct w:val="0"/>
        <w:autoSpaceDE/>
        <w:autoSpaceDN/>
        <w:bidi w:val="0"/>
        <w:adjustRightInd w:val="0"/>
        <w:snapToGrid w:val="0"/>
        <w:spacing w:line="480" w:lineRule="exact"/>
        <w:ind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询价小组由</w:t>
      </w:r>
      <w:r>
        <w:rPr>
          <w:rFonts w:hint="eastAsia" w:ascii="宋体" w:hAnsi="宋体" w:cs="宋体"/>
          <w:color w:val="auto"/>
          <w:sz w:val="28"/>
          <w:szCs w:val="28"/>
          <w:highlight w:val="none"/>
          <w:lang w:eastAsia="zh-CN"/>
        </w:rPr>
        <w:t>政府</w:t>
      </w:r>
      <w:r>
        <w:rPr>
          <w:rFonts w:hint="eastAsia" w:ascii="宋体" w:hAnsi="宋体" w:eastAsia="宋体" w:cs="宋体"/>
          <w:color w:val="auto"/>
          <w:sz w:val="28"/>
          <w:szCs w:val="28"/>
          <w:highlight w:val="none"/>
        </w:rPr>
        <w:t>采购评审专家</w:t>
      </w:r>
      <w:r>
        <w:rPr>
          <w:rFonts w:hint="eastAsia" w:ascii="宋体" w:hAnsi="宋体" w:eastAsia="宋体" w:cs="宋体"/>
          <w:color w:val="auto"/>
          <w:sz w:val="28"/>
          <w:szCs w:val="28"/>
          <w:highlight w:val="none"/>
          <w:lang w:eastAsia="zh-CN"/>
        </w:rPr>
        <w:t>和</w:t>
      </w:r>
      <w:r>
        <w:rPr>
          <w:rFonts w:hint="eastAsia" w:ascii="宋体" w:hAnsi="宋体" w:eastAsia="宋体" w:cs="宋体"/>
          <w:color w:val="auto"/>
          <w:sz w:val="28"/>
          <w:szCs w:val="28"/>
          <w:highlight w:val="none"/>
        </w:rPr>
        <w:t>采购人代表组成，且人员构成符合政府采购有关规定。</w:t>
      </w:r>
    </w:p>
    <w:p w14:paraId="34B8BB4A">
      <w:pPr>
        <w:keepNext w:val="0"/>
        <w:keepLines w:val="0"/>
        <w:pageBreakBefore w:val="0"/>
        <w:kinsoku/>
        <w:wordWrap/>
        <w:overflowPunct/>
        <w:topLinePunct w:val="0"/>
        <w:autoSpaceDE/>
        <w:autoSpaceDN/>
        <w:bidi w:val="0"/>
        <w:adjustRightInd w:val="0"/>
        <w:snapToGrid w:val="0"/>
        <w:spacing w:line="480" w:lineRule="exact"/>
        <w:ind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1.3询价小组应当按照客观、公正、审慎的原则评审响应供应商的响应文件。</w:t>
      </w:r>
    </w:p>
    <w:p w14:paraId="2DF5C5F3">
      <w:pPr>
        <w:keepNext w:val="0"/>
        <w:keepLines w:val="0"/>
        <w:pageBreakBefore w:val="0"/>
        <w:kinsoku/>
        <w:wordWrap/>
        <w:overflowPunct/>
        <w:topLinePunct w:val="0"/>
        <w:autoSpaceDE/>
        <w:autoSpaceDN/>
        <w:bidi w:val="0"/>
        <w:adjustRightInd w:val="0"/>
        <w:snapToGrid w:val="0"/>
        <w:spacing w:line="480" w:lineRule="exact"/>
        <w:ind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2.响应的澄清</w:t>
      </w:r>
    </w:p>
    <w:p w14:paraId="48B7BA5E">
      <w:pPr>
        <w:keepNext w:val="0"/>
        <w:keepLines w:val="0"/>
        <w:pageBreakBefore w:val="0"/>
        <w:kinsoku/>
        <w:wordWrap/>
        <w:overflowPunct/>
        <w:topLinePunct w:val="0"/>
        <w:autoSpaceDE/>
        <w:autoSpaceDN/>
        <w:bidi w:val="0"/>
        <w:adjustRightInd w:val="0"/>
        <w:snapToGrid w:val="0"/>
        <w:spacing w:line="480" w:lineRule="exact"/>
        <w:ind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2.1评审期间，为有助于对响应文件的审查、评价和比较，询价小组有权要求供应商对其响应文件进行澄清，但并非对每个供应商都作澄清要求。</w:t>
      </w:r>
    </w:p>
    <w:p w14:paraId="4B757FBD">
      <w:pPr>
        <w:keepNext w:val="0"/>
        <w:keepLines w:val="0"/>
        <w:pageBreakBefore w:val="0"/>
        <w:kinsoku/>
        <w:wordWrap/>
        <w:overflowPunct/>
        <w:topLinePunct w:val="0"/>
        <w:autoSpaceDE/>
        <w:autoSpaceDN/>
        <w:bidi w:val="0"/>
        <w:adjustRightInd w:val="0"/>
        <w:snapToGrid w:val="0"/>
        <w:spacing w:line="480" w:lineRule="exact"/>
        <w:ind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2.2接到询价小组澄清要求的供应商应派人按询价小组规定的时间和格式作出澄清，澄清的内容作为响应文件的补充部分，但响应的价格和实质性的内容不得做任何更改。</w:t>
      </w:r>
    </w:p>
    <w:p w14:paraId="75B25C75">
      <w:pPr>
        <w:keepNext w:val="0"/>
        <w:keepLines w:val="0"/>
        <w:pageBreakBefore w:val="0"/>
        <w:kinsoku/>
        <w:wordWrap/>
        <w:overflowPunct/>
        <w:topLinePunct w:val="0"/>
        <w:autoSpaceDE/>
        <w:autoSpaceDN/>
        <w:bidi w:val="0"/>
        <w:adjustRightInd w:val="0"/>
        <w:snapToGrid w:val="0"/>
        <w:spacing w:line="480" w:lineRule="exact"/>
        <w:ind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接到询价小组澄清要求的供应商如未按规定做出澄清，其风险由供应商自行承担。</w:t>
      </w:r>
    </w:p>
    <w:p w14:paraId="5691FCCC">
      <w:pPr>
        <w:keepNext w:val="0"/>
        <w:keepLines w:val="0"/>
        <w:pageBreakBefore w:val="0"/>
        <w:kinsoku/>
        <w:wordWrap/>
        <w:overflowPunct/>
        <w:topLinePunct w:val="0"/>
        <w:autoSpaceDE/>
        <w:autoSpaceDN/>
        <w:bidi w:val="0"/>
        <w:adjustRightInd w:val="0"/>
        <w:snapToGrid w:val="0"/>
        <w:spacing w:line="480" w:lineRule="exact"/>
        <w:ind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3.对响应文件的初审</w:t>
      </w:r>
    </w:p>
    <w:p w14:paraId="399C0789">
      <w:pPr>
        <w:keepNext w:val="0"/>
        <w:keepLines w:val="0"/>
        <w:pageBreakBefore w:val="0"/>
        <w:kinsoku/>
        <w:wordWrap/>
        <w:overflowPunct/>
        <w:topLinePunct w:val="0"/>
        <w:autoSpaceDE/>
        <w:autoSpaceDN/>
        <w:bidi w:val="0"/>
        <w:adjustRightInd w:val="0"/>
        <w:snapToGrid w:val="0"/>
        <w:spacing w:line="480" w:lineRule="exact"/>
        <w:ind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3.1响应文件初审分为资格性检查和符合性检查。</w:t>
      </w:r>
    </w:p>
    <w:p w14:paraId="31D9DC0D">
      <w:pPr>
        <w:keepNext w:val="0"/>
        <w:keepLines w:val="0"/>
        <w:pageBreakBefore w:val="0"/>
        <w:kinsoku/>
        <w:wordWrap/>
        <w:overflowPunct/>
        <w:topLinePunct w:val="0"/>
        <w:autoSpaceDE/>
        <w:autoSpaceDN/>
        <w:bidi w:val="0"/>
        <w:adjustRightInd w:val="0"/>
        <w:snapToGrid w:val="0"/>
        <w:spacing w:line="480" w:lineRule="exact"/>
        <w:ind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（1）资格性检查：依据法律法规和采购文件的规定，询价小组对响应文件中的资格证明文件等进行审查，以确定供应商是否具备参加询价的资格。</w:t>
      </w:r>
    </w:p>
    <w:p w14:paraId="0DDBAAEE">
      <w:pPr>
        <w:keepNext w:val="0"/>
        <w:keepLines w:val="0"/>
        <w:pageBreakBefore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14:paraId="3F391586">
      <w:pPr>
        <w:keepNext w:val="0"/>
        <w:keepLines w:val="0"/>
        <w:pageBreakBefore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0BFB7DD7">
      <w:pPr>
        <w:keepNext w:val="0"/>
        <w:keepLines w:val="0"/>
        <w:pageBreakBefore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资格性审查未通过的响应供应商作无效响应处理。</w:t>
      </w:r>
    </w:p>
    <w:p w14:paraId="4A175182">
      <w:pPr>
        <w:keepNext w:val="0"/>
        <w:keepLines w:val="0"/>
        <w:pageBreakBefore w:val="0"/>
        <w:kinsoku/>
        <w:wordWrap/>
        <w:overflowPunct/>
        <w:topLinePunct w:val="0"/>
        <w:autoSpaceDE/>
        <w:autoSpaceDN/>
        <w:bidi w:val="0"/>
        <w:adjustRightInd w:val="0"/>
        <w:snapToGrid w:val="0"/>
        <w:spacing w:line="480" w:lineRule="exact"/>
        <w:ind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符合性检查：依据采购文件的规定，询价小组从响应文件的有效性、完整性和对采购文件的响应程度进行审查，以确定是否对采购文件的实质性要求作出响应。符合性审查未通过的响应供应商作无效响应处理。</w:t>
      </w:r>
    </w:p>
    <w:p w14:paraId="7B9ECF1A">
      <w:pPr>
        <w:keepNext w:val="0"/>
        <w:keepLines w:val="0"/>
        <w:pageBreakBefore w:val="0"/>
        <w:kinsoku/>
        <w:wordWrap/>
        <w:overflowPunct/>
        <w:topLinePunct w:val="0"/>
        <w:autoSpaceDE/>
        <w:autoSpaceDN/>
        <w:bidi w:val="0"/>
        <w:adjustRightInd w:val="0"/>
        <w:snapToGrid w:val="0"/>
        <w:spacing w:line="480" w:lineRule="exact"/>
        <w:ind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（3）未通过资格性审查或符合性审查的响应供应商，</w:t>
      </w:r>
      <w:r>
        <w:rPr>
          <w:rFonts w:hint="eastAsia" w:ascii="宋体" w:hAnsi="宋体" w:cs="宋体"/>
          <w:color w:val="auto"/>
          <w:sz w:val="28"/>
          <w:szCs w:val="28"/>
          <w:highlight w:val="none"/>
          <w:lang w:eastAsia="zh-CN"/>
        </w:rPr>
        <w:t>采购人或代理机构</w:t>
      </w:r>
      <w:r>
        <w:rPr>
          <w:rFonts w:hint="eastAsia" w:ascii="宋体" w:hAnsi="宋体" w:eastAsia="宋体" w:cs="宋体"/>
          <w:color w:val="auto"/>
          <w:sz w:val="28"/>
          <w:szCs w:val="28"/>
          <w:highlight w:val="none"/>
        </w:rPr>
        <w:t>将告知其未通过资格性审查或符合性审查的原因</w:t>
      </w:r>
      <w:r>
        <w:rPr>
          <w:rFonts w:hint="eastAsia" w:ascii="宋体" w:hAnsi="宋体" w:eastAsia="宋体" w:cs="宋体"/>
          <w:bCs/>
          <w:color w:val="auto"/>
          <w:sz w:val="28"/>
          <w:szCs w:val="28"/>
          <w:highlight w:val="none"/>
        </w:rPr>
        <w:t>，评审结束后，</w:t>
      </w:r>
      <w:r>
        <w:rPr>
          <w:rFonts w:hint="eastAsia" w:ascii="宋体" w:hAnsi="宋体" w:cs="宋体"/>
          <w:color w:val="auto"/>
          <w:sz w:val="28"/>
          <w:szCs w:val="28"/>
          <w:highlight w:val="none"/>
          <w:lang w:eastAsia="zh-CN"/>
        </w:rPr>
        <w:t>采购人或代理机构</w:t>
      </w:r>
      <w:r>
        <w:rPr>
          <w:rFonts w:hint="eastAsia" w:ascii="宋体" w:hAnsi="宋体" w:eastAsia="宋体" w:cs="宋体"/>
          <w:bCs/>
          <w:color w:val="auto"/>
          <w:sz w:val="28"/>
          <w:szCs w:val="28"/>
          <w:highlight w:val="none"/>
        </w:rPr>
        <w:t>将不再告知未通过资格审查或符合性审查的原因。</w:t>
      </w:r>
    </w:p>
    <w:p w14:paraId="167C0159">
      <w:pPr>
        <w:keepNext w:val="0"/>
        <w:keepLines w:val="0"/>
        <w:pageBreakBefore w:val="0"/>
        <w:kinsoku/>
        <w:wordWrap/>
        <w:overflowPunct/>
        <w:topLinePunct w:val="0"/>
        <w:autoSpaceDE/>
        <w:autoSpaceDN/>
        <w:bidi w:val="0"/>
        <w:adjustRightInd w:val="0"/>
        <w:snapToGrid w:val="0"/>
        <w:spacing w:line="480" w:lineRule="exact"/>
        <w:ind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w:t>
      </w:r>
      <w:r>
        <w:rPr>
          <w:rFonts w:hint="eastAsia" w:ascii="宋体" w:hAnsi="宋体" w:eastAsia="宋体" w:cs="宋体"/>
          <w:bCs/>
          <w:color w:val="auto"/>
          <w:sz w:val="28"/>
          <w:szCs w:val="28"/>
          <w:highlight w:val="none"/>
        </w:rPr>
        <w:t>询价小组将对确定为实质性响应的响应进行进一步审核，看其是否有计算</w:t>
      </w:r>
      <w:r>
        <w:rPr>
          <w:rFonts w:hint="eastAsia" w:ascii="宋体" w:hAnsi="宋体" w:eastAsia="宋体" w:cs="宋体"/>
          <w:color w:val="auto"/>
          <w:sz w:val="28"/>
          <w:szCs w:val="28"/>
          <w:highlight w:val="none"/>
        </w:rPr>
        <w:t>上或累加上的算术错误，修正错误的原则如下：</w:t>
      </w:r>
    </w:p>
    <w:p w14:paraId="2E4C7233">
      <w:pPr>
        <w:keepNext w:val="0"/>
        <w:keepLines w:val="0"/>
        <w:pageBreakBefore w:val="0"/>
        <w:kinsoku/>
        <w:wordWrap/>
        <w:overflowPunct/>
        <w:topLinePunct w:val="0"/>
        <w:autoSpaceDE/>
        <w:autoSpaceDN/>
        <w:bidi w:val="0"/>
        <w:adjustRightInd w:val="0"/>
        <w:snapToGrid w:val="0"/>
        <w:spacing w:line="480" w:lineRule="exact"/>
        <w:ind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（1）响应文件中</w:t>
      </w:r>
      <w:r>
        <w:rPr>
          <w:rFonts w:hint="eastAsia" w:ascii="宋体" w:hAnsi="宋体" w:cs="宋体"/>
          <w:color w:val="auto"/>
          <w:sz w:val="28"/>
          <w:szCs w:val="28"/>
          <w:highlight w:val="none"/>
          <w:lang w:eastAsia="zh-CN"/>
        </w:rPr>
        <w:t>报价总表</w:t>
      </w:r>
      <w:r>
        <w:rPr>
          <w:rFonts w:hint="eastAsia" w:ascii="宋体" w:hAnsi="宋体" w:eastAsia="宋体" w:cs="宋体"/>
          <w:color w:val="auto"/>
          <w:sz w:val="28"/>
          <w:szCs w:val="28"/>
          <w:highlight w:val="none"/>
        </w:rPr>
        <w:t>内容与响应文件中相应内容不一致的，以</w:t>
      </w:r>
      <w:r>
        <w:rPr>
          <w:rFonts w:hint="eastAsia" w:ascii="宋体" w:hAnsi="宋体" w:cs="宋体"/>
          <w:color w:val="auto"/>
          <w:sz w:val="28"/>
          <w:szCs w:val="28"/>
          <w:highlight w:val="none"/>
          <w:lang w:eastAsia="zh-CN"/>
        </w:rPr>
        <w:t>报价总表</w:t>
      </w:r>
      <w:r>
        <w:rPr>
          <w:rFonts w:hint="eastAsia" w:ascii="宋体" w:hAnsi="宋体" w:eastAsia="宋体" w:cs="宋体"/>
          <w:color w:val="auto"/>
          <w:sz w:val="28"/>
          <w:szCs w:val="28"/>
          <w:highlight w:val="none"/>
        </w:rPr>
        <w:t>为准。</w:t>
      </w:r>
    </w:p>
    <w:p w14:paraId="45C5D137">
      <w:pPr>
        <w:keepNext w:val="0"/>
        <w:keepLines w:val="0"/>
        <w:pageBreakBefore w:val="0"/>
        <w:kinsoku/>
        <w:wordWrap/>
        <w:overflowPunct/>
        <w:topLinePunct w:val="0"/>
        <w:autoSpaceDE/>
        <w:autoSpaceDN/>
        <w:bidi w:val="0"/>
        <w:adjustRightInd w:val="0"/>
        <w:snapToGrid w:val="0"/>
        <w:spacing w:line="480" w:lineRule="exact"/>
        <w:ind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（2）大写金额和小写金额不一致的，以大写金额为准。</w:t>
      </w:r>
    </w:p>
    <w:p w14:paraId="50F7F7C8">
      <w:pPr>
        <w:keepNext w:val="0"/>
        <w:keepLines w:val="0"/>
        <w:pageBreakBefore w:val="0"/>
        <w:kinsoku/>
        <w:wordWrap/>
        <w:overflowPunct/>
        <w:topLinePunct w:val="0"/>
        <w:autoSpaceDE/>
        <w:autoSpaceDN/>
        <w:bidi w:val="0"/>
        <w:adjustRightInd w:val="0"/>
        <w:snapToGrid w:val="0"/>
        <w:spacing w:line="480" w:lineRule="exact"/>
        <w:ind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（3）总价金额与按单价汇总金额不一致的，以单价金额计算结果为准。</w:t>
      </w:r>
    </w:p>
    <w:p w14:paraId="53E99476">
      <w:pPr>
        <w:keepNext w:val="0"/>
        <w:keepLines w:val="0"/>
        <w:pageBreakBefore w:val="0"/>
        <w:kinsoku/>
        <w:wordWrap/>
        <w:overflowPunct/>
        <w:topLinePunct w:val="0"/>
        <w:autoSpaceDE/>
        <w:autoSpaceDN/>
        <w:bidi w:val="0"/>
        <w:adjustRightInd w:val="0"/>
        <w:snapToGrid w:val="0"/>
        <w:spacing w:line="480" w:lineRule="exact"/>
        <w:ind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同时出现两种以上错误的，按照前款规定的顺序修正。</w:t>
      </w:r>
    </w:p>
    <w:p w14:paraId="42F166C8">
      <w:pPr>
        <w:keepNext w:val="0"/>
        <w:keepLines w:val="0"/>
        <w:pageBreakBefore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14:paraId="4200E06C">
      <w:pPr>
        <w:keepNext w:val="0"/>
        <w:keepLines w:val="0"/>
        <w:pageBreakBefore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14:paraId="36AE59F0">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3.5询价小组允许修正响应文件中不构成重大偏离的、微小的、非正规的、不一致的或不规则的地方，但这些修改不能影响任何响应供应商相应的名次排列。</w:t>
      </w:r>
    </w:p>
    <w:p w14:paraId="59BD29B2">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48F585E1">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非单一产品采购项目，采购文件中将载明其中的核心产品。多家响应供应商提供的核心产品为同一品牌同一型号的，按前款规定处理。</w:t>
      </w:r>
    </w:p>
    <w:p w14:paraId="0E1DD804">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3.7响应供应商在询价采购活动全过程中应保持通讯畅通，并安排专人与</w:t>
      </w:r>
      <w:r>
        <w:rPr>
          <w:rFonts w:hint="eastAsia" w:ascii="宋体" w:hAnsi="宋体" w:cs="宋体"/>
          <w:color w:val="auto"/>
          <w:sz w:val="28"/>
          <w:szCs w:val="28"/>
          <w:highlight w:val="none"/>
          <w:lang w:eastAsia="zh-CN"/>
        </w:rPr>
        <w:t>采购人</w:t>
      </w:r>
      <w:r>
        <w:rPr>
          <w:rFonts w:hint="eastAsia" w:ascii="宋体" w:hAnsi="宋体" w:eastAsia="宋体" w:cs="宋体"/>
          <w:color w:val="auto"/>
          <w:sz w:val="28"/>
          <w:szCs w:val="28"/>
          <w:highlight w:val="none"/>
        </w:rPr>
        <w:t>及询价小组联系。</w:t>
      </w:r>
    </w:p>
    <w:p w14:paraId="29F4CBAD">
      <w:pPr>
        <w:keepNext w:val="0"/>
        <w:keepLines w:val="0"/>
        <w:pageBreakBefore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4.无效响应及废标情形</w:t>
      </w:r>
    </w:p>
    <w:p w14:paraId="2F36647F">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4.1符合下列情形之一者，响应供应商响应无效：</w:t>
      </w:r>
    </w:p>
    <w:p w14:paraId="6C8C6F9C">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（1）响应供应商未按本采购文件要求进行制作或密封的；</w:t>
      </w:r>
    </w:p>
    <w:p w14:paraId="4E1A2C8D">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响应文件未按采购文件的要求签字或盖章的。</w:t>
      </w:r>
    </w:p>
    <w:p w14:paraId="66AA734A">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（3）响应文件未按规定加盖供应商印章，投标报价部分未盖章的。</w:t>
      </w:r>
    </w:p>
    <w:p w14:paraId="3B2A9C00">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（4）响应文件的关键内容字迹模糊，无法辨认的。</w:t>
      </w:r>
    </w:p>
    <w:p w14:paraId="05A87C29">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同一响应供应商提交两个（含两个）以上不同的响应报价的；</w:t>
      </w:r>
    </w:p>
    <w:p w14:paraId="6E3AA02E">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）响应供应商不具备采购文件中规定资格要求的；</w:t>
      </w:r>
    </w:p>
    <w:p w14:paraId="2F4F2767">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）响应供应商的报价超过了采购预算或最高限价的；</w:t>
      </w:r>
    </w:p>
    <w:p w14:paraId="25B7F681">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）未通过资格性、符合性审查的；</w:t>
      </w:r>
    </w:p>
    <w:p w14:paraId="3EA54F34">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）不符合询价采购文件中规定的其他实质性要求和条件的；</w:t>
      </w:r>
    </w:p>
    <w:p w14:paraId="67A4AB11">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6F51F918">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）响应文件含有采购人不能接受的附加条件的；</w:t>
      </w:r>
    </w:p>
    <w:p w14:paraId="3BE3FFC0">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）其他法律、法规及本采购文件规定的属无效响应的情形。</w:t>
      </w:r>
    </w:p>
    <w:p w14:paraId="541690D8">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4.2符合下列情形之一者，本采购项目废标：</w:t>
      </w:r>
    </w:p>
    <w:p w14:paraId="00BF93A0">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符合专业条件的供应商或者对采购文件作实质响应的供应商不足三家的</w:t>
      </w:r>
      <w:r>
        <w:rPr>
          <w:rFonts w:hint="eastAsia" w:ascii="宋体" w:hAnsi="宋体" w:eastAsia="宋体" w:cs="宋体"/>
          <w:color w:val="auto"/>
          <w:sz w:val="28"/>
          <w:szCs w:val="28"/>
          <w:highlight w:val="none"/>
        </w:rPr>
        <w:t>；</w:t>
      </w:r>
    </w:p>
    <w:p w14:paraId="508F1CD8">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（2）所有合格响应供应商的报价均超过本项目预算金额或最高限价的；</w:t>
      </w:r>
    </w:p>
    <w:p w14:paraId="1D525B65">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（3）出现影响采购公正的违法、违规行为的；</w:t>
      </w:r>
    </w:p>
    <w:p w14:paraId="7B88F739">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（4）因重大变故，采购任务取消的；</w:t>
      </w:r>
    </w:p>
    <w:p w14:paraId="50813520">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废标后，对于特殊紧急的采购项目，经监管部门批准后采购人可直接改变采购方式，现场继续组织采购活动。</w:t>
      </w:r>
    </w:p>
    <w:p w14:paraId="07DFEA5D">
      <w:pPr>
        <w:keepNext w:val="0"/>
        <w:keepLines w:val="0"/>
        <w:pageBreakBefore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、成交原则</w:t>
      </w:r>
    </w:p>
    <w:p w14:paraId="342EAE2E">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1.确定成交单位</w:t>
      </w:r>
    </w:p>
    <w:p w14:paraId="7DDCDD9E">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1.1询价小组将从质量和服务均能满足采购文件实质性响应要求的供应商中，按照报价由低到高顺序推荐1名成交候选供应商，若报价相同时则通过抽签方式随机确定排名顺序，并编写评审报告。</w:t>
      </w:r>
    </w:p>
    <w:p w14:paraId="1D2EFE78">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采购人应按照询价小组推荐的成交候选供应商确定成交供应商。</w:t>
      </w:r>
    </w:p>
    <w:p w14:paraId="2EE5160A">
      <w:pPr>
        <w:keepNext w:val="0"/>
        <w:keepLines w:val="0"/>
        <w:pageBreakBefore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1.2 对小微型企业、监狱企业和残疾人福利单位的价格扣除</w:t>
      </w:r>
    </w:p>
    <w:p w14:paraId="258B4C4F">
      <w:pPr>
        <w:keepNext w:val="0"/>
        <w:keepLines w:val="0"/>
        <w:pageBreakBefore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（1）小微型企业价格扣除</w:t>
      </w:r>
    </w:p>
    <w:p w14:paraId="6BFB41E5">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本项目对小型和微型企业产品给予10%的扣除价格，用扣除后的价格参与评审。</w:t>
      </w:r>
    </w:p>
    <w:p w14:paraId="211BEE2C">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②供应商需按照采购文件的要求提供相应的《中小企业声明函》。</w:t>
      </w:r>
    </w:p>
    <w:p w14:paraId="478CCAC0">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③企业标准请参照《关于印发中小企业划型标准规定的通知》（工信部联企业[2011]300号）文件规定自行填写。</w:t>
      </w:r>
    </w:p>
    <w:p w14:paraId="7F4B0D80">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（2）残疾人福利单位价格扣除</w:t>
      </w:r>
    </w:p>
    <w:p w14:paraId="7D51DAF6">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本项目对残疾人福利性单位视同小型、微型企业，给予10%的价格扣除，用扣除后的价格参与评审。</w:t>
      </w:r>
    </w:p>
    <w:p w14:paraId="484A0C1F">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②残疾人福利单位需按照采购文件的要求提供《残疾人福利性单位声明函》。</w:t>
      </w:r>
    </w:p>
    <w:p w14:paraId="5BBFEBBC">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③残疾人福利单位标准请参照《关于促进残疾人就业政府采购政策的通知》（财库〔2017〕141号）。</w:t>
      </w:r>
    </w:p>
    <w:p w14:paraId="6CC36968">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（3）监狱和戒毒企业价格扣除</w:t>
      </w:r>
    </w:p>
    <w:p w14:paraId="1FAF9A04">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本项目对监狱和戒毒企业（简称监狱企业）视同小型、微型企业，给予10%的价格扣除，用扣除后的价格参与评审。</w:t>
      </w:r>
    </w:p>
    <w:p w14:paraId="2EB46033">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②监狱企业参加政府采购活动时，需提供由省级以上监狱管理局、戒毒管理局(含新疆生产建设兵团)出具的属于监狱企业的证明文件。供应商如不提供上述证明文件，价格将不做相应扣除。</w:t>
      </w:r>
    </w:p>
    <w:p w14:paraId="58DB48B6">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③监狱企业标准请参照《关于政府采购支持监狱企业发展有关问题的通知》（财库[2014]68号）。</w:t>
      </w:r>
    </w:p>
    <w:p w14:paraId="6F815331">
      <w:pPr>
        <w:keepNext w:val="0"/>
        <w:keepLines w:val="0"/>
        <w:pageBreakBefore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（4）残疾人福利单位、监狱企业属于小型、微型企业的，不重复享受政策。</w:t>
      </w:r>
    </w:p>
    <w:p w14:paraId="4F618047">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6A82F8D6">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（6）联合体各方均为小型、微型企业（残疾人福利单位、监狱企业）的，联合体享受10%价格扣除，用扣除后的价格参与评审。</w:t>
      </w:r>
    </w:p>
    <w:p w14:paraId="3D9109CD">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（7）专门面向中小企业采购的项目或者采购包，不再执行价格评审优惠的扶持政策。</w:t>
      </w:r>
    </w:p>
    <w:p w14:paraId="1254B2CA">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1.3如出现供应商最低报价相同的情况，则优先采购“环境标志产品”或“节能产品”。</w:t>
      </w:r>
    </w:p>
    <w:p w14:paraId="565BB657">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（1）如出现最低报价相同，且响应产品均属于“环境标志产品”和“节能产品”，则将优先采购交货期短者。</w:t>
      </w:r>
    </w:p>
    <w:p w14:paraId="176F1057">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（2）如出现最低报价相同，且响应产品不能同时满足“环境标志产品”和“节能产品”（只能满足其中一项），则将优先采购交货期短者。</w:t>
      </w:r>
    </w:p>
    <w:p w14:paraId="1AD29267">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1.4如出现供应商最低报价相同的情况，且响应产品均不是“环境标志产品”或“节能产品”，则将优先采购交货期短者。</w:t>
      </w:r>
    </w:p>
    <w:p w14:paraId="1B47471F">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对于同时列入环境标志产品政府采购品目清单和节能产品政府采购品目清单的产品，则其优先于只列入其中一个品目清单的产品。</w:t>
      </w:r>
    </w:p>
    <w:p w14:paraId="1880319A">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环境标志产品是指列入财政部、生态环境部最新公布的《环境标志产品政府采购品目清单》内的产品。</w:t>
      </w:r>
    </w:p>
    <w:p w14:paraId="08FBA369">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节能产品是指列入财政部、国家发展和改革委员会最新公布的《节能产品政府采购品目清单》内的产品。</w:t>
      </w:r>
    </w:p>
    <w:p w14:paraId="38B8AB0B">
      <w:pPr>
        <w:keepNext w:val="0"/>
        <w:keepLines w:val="0"/>
        <w:pageBreakBefore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注意：响应主要产品如为节能及环境标志产品的，响应供应商必须提供有关证明材料。</w:t>
      </w:r>
    </w:p>
    <w:p w14:paraId="1F868BCE">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1.5成交结果公告</w:t>
      </w:r>
    </w:p>
    <w:p w14:paraId="07AE2A44">
      <w:pPr>
        <w:keepNext w:val="0"/>
        <w:keepLines w:val="0"/>
        <w:pageBreakBefore w:val="0"/>
        <w:kinsoku/>
        <w:wordWrap/>
        <w:overflowPunct/>
        <w:topLinePunct w:val="0"/>
        <w:autoSpaceDE/>
        <w:autoSpaceDN/>
        <w:bidi w:val="0"/>
        <w:adjustRightInd w:val="0"/>
        <w:snapToGrid w:val="0"/>
        <w:spacing w:line="480" w:lineRule="exact"/>
        <w:ind w:firstLine="840" w:firstLineChars="3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采购人</w:t>
      </w:r>
      <w:r>
        <w:rPr>
          <w:rFonts w:hint="eastAsia" w:ascii="宋体" w:hAnsi="宋体" w:eastAsia="宋体" w:cs="宋体"/>
          <w:color w:val="auto"/>
          <w:sz w:val="28"/>
          <w:szCs w:val="28"/>
          <w:highlight w:val="none"/>
        </w:rPr>
        <w:t>将在</w:t>
      </w:r>
      <w:r>
        <w:rPr>
          <w:rFonts w:hint="eastAsia" w:ascii="宋体" w:hAnsi="宋体" w:cs="宋体"/>
          <w:color w:val="auto"/>
          <w:sz w:val="28"/>
          <w:szCs w:val="28"/>
          <w:highlight w:val="none"/>
          <w:lang w:val="en-US" w:eastAsia="zh-CN"/>
        </w:rPr>
        <w:t>启东市吕四自来水厂有限公司网站（https://www.qdlszlsc.com）</w:t>
      </w:r>
      <w:r>
        <w:rPr>
          <w:rFonts w:hint="eastAsia" w:ascii="宋体" w:hAnsi="宋体" w:eastAsia="宋体" w:cs="宋体"/>
          <w:color w:val="auto"/>
          <w:sz w:val="28"/>
          <w:szCs w:val="28"/>
          <w:highlight w:val="none"/>
        </w:rPr>
        <w:t>发布成交公告，公告期限为1个工作日。</w:t>
      </w:r>
    </w:p>
    <w:p w14:paraId="3F9830AB">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 若有充分证据证明，成交供应商出现下列情况之一的，一经查实，将被取消成交资格：</w:t>
      </w:r>
    </w:p>
    <w:p w14:paraId="4C8FF247">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（1）提供虚假材料谋取成交的；</w:t>
      </w:r>
    </w:p>
    <w:p w14:paraId="494E65AF">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（2）向采购人、</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行贿或者提供其他不正当利益的；</w:t>
      </w:r>
    </w:p>
    <w:p w14:paraId="5F9FC6E2">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（3）恶意竞争，响应总报价明显低于其自身合理成本且又无法提供证明的；</w:t>
      </w:r>
    </w:p>
    <w:p w14:paraId="0F9DC3EA">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（4）属于本文件规定的无效条件，但在评审过程中又未被询价小组发现的；</w:t>
      </w:r>
    </w:p>
    <w:p w14:paraId="3271AC7E">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（5）与采购人或者其他供应商恶意串通的；</w:t>
      </w:r>
    </w:p>
    <w:p w14:paraId="4DF3385C">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（6）采取不正当手段诋毁、排挤其他供应商的；</w:t>
      </w:r>
    </w:p>
    <w:p w14:paraId="06C6126B">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（7）如有涉及对采购文件实质性内容的隐瞒、欺诈或违法违规行为的。</w:t>
      </w:r>
    </w:p>
    <w:p w14:paraId="77BD430C">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1.7有下列情形之一的，视为响应供应商串通响应，响应无效：</w:t>
      </w:r>
    </w:p>
    <w:p w14:paraId="32C21BB2">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（1）不同响应供应商的响应文件由同一单位或者个人编制；</w:t>
      </w:r>
    </w:p>
    <w:p w14:paraId="5BAD4AB6">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（2）不同响应供应商委托同一单位或者个人办理响应事宜；</w:t>
      </w:r>
    </w:p>
    <w:p w14:paraId="22181A29">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（3）不同响应供应商的响应文件载明的项目管理成员或者联系人员为同一人；</w:t>
      </w:r>
    </w:p>
    <w:p w14:paraId="11B05BE8">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（4）不同响应供应商的响应文件异常一致或者响应报价呈规律性差异；</w:t>
      </w:r>
    </w:p>
    <w:p w14:paraId="35C291EC">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（5）不同响应供应商的响应文件相互混装。</w:t>
      </w:r>
    </w:p>
    <w:p w14:paraId="0464DEE2">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2.质疑处理</w:t>
      </w:r>
    </w:p>
    <w:p w14:paraId="2CC736E8">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提出质疑的供应商应当是参与所质疑项目采购活动的供应商。潜在供应商依法获取其可质疑的采购文件的，可以对采购文件提出质疑。</w:t>
      </w:r>
    </w:p>
    <w:p w14:paraId="71921B99">
      <w:pPr>
        <w:keepNext w:val="0"/>
        <w:keepLines w:val="0"/>
        <w:pageBreakBefore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2.2供应商认为采购文件、采购过程和采购结果使自己的权益受到损害的，可以在知道或应知其权益受到损害之日起七个工作日内，以书面形式向采购人提出质疑。上述应知其权益受到损害之日，是指：</w:t>
      </w:r>
    </w:p>
    <w:p w14:paraId="0D39BB10">
      <w:pPr>
        <w:keepNext w:val="0"/>
        <w:keepLines w:val="0"/>
        <w:pageBreakBefore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kern w:val="0"/>
          <w:sz w:val="28"/>
          <w:szCs w:val="28"/>
          <w:highlight w:val="none"/>
        </w:rPr>
        <w:t>对可以质疑的采购文件提出质疑的，为收到采购文件之日或者采购文件公告期限届满之日；</w:t>
      </w:r>
      <w:r>
        <w:rPr>
          <w:rFonts w:hint="eastAsia" w:ascii="宋体" w:hAnsi="宋体" w:eastAsia="宋体" w:cs="宋体"/>
          <w:color w:val="auto"/>
          <w:kern w:val="0"/>
          <w:sz w:val="28"/>
          <w:szCs w:val="28"/>
          <w:highlight w:val="none"/>
        </w:rPr>
        <w:br w:type="textWrapping"/>
      </w:r>
      <w:r>
        <w:rPr>
          <w:rFonts w:hint="eastAsia" w:ascii="宋体" w:hAnsi="宋体" w:eastAsia="宋体" w:cs="宋体"/>
          <w:color w:val="auto"/>
          <w:kern w:val="0"/>
          <w:sz w:val="28"/>
          <w:szCs w:val="28"/>
          <w:highlight w:val="none"/>
        </w:rPr>
        <w:t>　　</w:t>
      </w:r>
      <w:r>
        <w:rPr>
          <w:rFonts w:hint="eastAsia" w:ascii="宋体" w:hAnsi="宋体" w:eastAsia="宋体" w:cs="宋体"/>
          <w:color w:val="auto"/>
          <w:sz w:val="28"/>
          <w:szCs w:val="28"/>
          <w:highlight w:val="none"/>
        </w:rPr>
        <w:t>（2）</w:t>
      </w:r>
      <w:r>
        <w:rPr>
          <w:rFonts w:hint="eastAsia" w:ascii="宋体" w:hAnsi="宋体" w:eastAsia="宋体" w:cs="宋体"/>
          <w:color w:val="auto"/>
          <w:kern w:val="0"/>
          <w:sz w:val="28"/>
          <w:szCs w:val="28"/>
          <w:highlight w:val="none"/>
        </w:rPr>
        <w:t>对采购过程提出质疑的，为各采购程序环节结束之日；</w:t>
      </w:r>
      <w:r>
        <w:rPr>
          <w:rFonts w:hint="eastAsia" w:ascii="宋体" w:hAnsi="宋体" w:eastAsia="宋体" w:cs="宋体"/>
          <w:color w:val="auto"/>
          <w:kern w:val="0"/>
          <w:sz w:val="28"/>
          <w:szCs w:val="28"/>
          <w:highlight w:val="none"/>
        </w:rPr>
        <w:br w:type="textWrapping"/>
      </w:r>
      <w:r>
        <w:rPr>
          <w:rFonts w:hint="eastAsia" w:ascii="宋体" w:hAnsi="宋体" w:eastAsia="宋体" w:cs="宋体"/>
          <w:color w:val="auto"/>
          <w:kern w:val="0"/>
          <w:sz w:val="28"/>
          <w:szCs w:val="28"/>
          <w:highlight w:val="none"/>
        </w:rPr>
        <w:t>　　</w:t>
      </w:r>
      <w:r>
        <w:rPr>
          <w:rFonts w:hint="eastAsia" w:ascii="宋体" w:hAnsi="宋体" w:eastAsia="宋体" w:cs="宋体"/>
          <w:color w:val="auto"/>
          <w:sz w:val="28"/>
          <w:szCs w:val="28"/>
          <w:highlight w:val="none"/>
        </w:rPr>
        <w:t>（3）</w:t>
      </w:r>
      <w:r>
        <w:rPr>
          <w:rFonts w:hint="eastAsia" w:ascii="宋体" w:hAnsi="宋体" w:eastAsia="宋体" w:cs="宋体"/>
          <w:color w:val="auto"/>
          <w:kern w:val="0"/>
          <w:sz w:val="28"/>
          <w:szCs w:val="28"/>
          <w:highlight w:val="none"/>
        </w:rPr>
        <w:t>对中标或者成交结果提出质疑的，为中标或者成交结果公告期限届满之日。</w:t>
      </w:r>
    </w:p>
    <w:p w14:paraId="7ACA1FAA">
      <w:pPr>
        <w:keepNext w:val="0"/>
        <w:keepLines w:val="0"/>
        <w:pageBreakBefore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供应商应当在法定质疑期内一次性提出针对同一采购程序环节的质疑。</w:t>
      </w:r>
    </w:p>
    <w:p w14:paraId="372DA835">
      <w:pPr>
        <w:keepNext w:val="0"/>
        <w:keepLines w:val="0"/>
        <w:pageBreakBefore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2.3质疑函必须按照本采购文件中《质疑函范本》（附件</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）要求的格式和内容进行填写。供应商如组成联合体参加响应，则《质疑函范本》中要求签字、盖章、加盖公章之处，联合体各方均须按要求签字、盖章、加盖公章。</w:t>
      </w:r>
    </w:p>
    <w:p w14:paraId="6D9ABF02">
      <w:pPr>
        <w:keepNext w:val="0"/>
        <w:keepLines w:val="0"/>
        <w:pageBreakBefore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2.4对采购方式、采购文件中项目需求、供应商资格条件等应当由采购人答复的质疑，请向采购人提出，由采购人负责答复。</w:t>
      </w:r>
    </w:p>
    <w:p w14:paraId="649EB40C">
      <w:pPr>
        <w:keepNext w:val="0"/>
        <w:keepLines w:val="0"/>
        <w:pageBreakBefore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供应商于法定期限内提起质疑，向采购人以书面形式提交质疑函。</w:t>
      </w:r>
    </w:p>
    <w:p w14:paraId="1807E479">
      <w:pPr>
        <w:keepNext w:val="0"/>
        <w:keepLines w:val="0"/>
        <w:pageBreakBefore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采购人质疑接收人及联系方式，见采购文件第一部分。</w:t>
      </w:r>
    </w:p>
    <w:p w14:paraId="01D4AA30">
      <w:pPr>
        <w:keepNext w:val="0"/>
        <w:keepLines w:val="0"/>
        <w:pageBreakBefore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以下情形的质疑不予受理</w:t>
      </w:r>
    </w:p>
    <w:p w14:paraId="569197B4">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（1）内容不符合《政府采购质疑和投诉办法》第十二条规定的质疑。</w:t>
      </w:r>
    </w:p>
    <w:p w14:paraId="2A75AAF0">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（2）超出政府采购法定期限的质疑。</w:t>
      </w:r>
    </w:p>
    <w:p w14:paraId="7F2B7BCC">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（3）未参加响应活动的供应商或在响应活动中自身权益未受到损害的供应商所提出的质疑。</w:t>
      </w:r>
    </w:p>
    <w:p w14:paraId="42392D4E">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（4）供应商组成联合体参加响应，联合体中任何一方或多方未按要求签字、盖章、加盖公章的质疑。</w:t>
      </w:r>
    </w:p>
    <w:p w14:paraId="268BEE44">
      <w:pPr>
        <w:keepNext w:val="0"/>
        <w:keepLines w:val="0"/>
        <w:pageBreakBefore w:val="0"/>
        <w:kinsoku/>
        <w:wordWrap/>
        <w:overflowPunct/>
        <w:topLinePunct w:val="0"/>
        <w:autoSpaceDE/>
        <w:autoSpaceDN/>
        <w:bidi w:val="0"/>
        <w:adjustRightInd w:val="0"/>
        <w:snapToGrid w:val="0"/>
        <w:spacing w:line="480" w:lineRule="exact"/>
        <w:ind w:firstLine="546" w:firstLineChars="195"/>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 供应商提出书面质疑必须有理、有据，不得捏造事实、提供虚假材料进行恶意质疑。否则，一经查实，</w:t>
      </w:r>
      <w:r>
        <w:rPr>
          <w:rFonts w:hint="eastAsia" w:ascii="宋体" w:hAnsi="宋体" w:cs="宋体"/>
          <w:color w:val="auto"/>
          <w:sz w:val="28"/>
          <w:szCs w:val="28"/>
          <w:highlight w:val="none"/>
          <w:lang w:eastAsia="zh-CN"/>
        </w:rPr>
        <w:t>采购人</w:t>
      </w:r>
      <w:r>
        <w:rPr>
          <w:rFonts w:hint="eastAsia" w:ascii="宋体" w:hAnsi="宋体" w:eastAsia="宋体" w:cs="宋体"/>
          <w:color w:val="auto"/>
          <w:sz w:val="28"/>
          <w:szCs w:val="28"/>
          <w:highlight w:val="none"/>
        </w:rPr>
        <w:t>有权依据政府采购的有关规定，报请政府采购监管部门对该供应商进行相应的行政处罚和记录该供应商的失信信息。</w:t>
      </w:r>
    </w:p>
    <w:p w14:paraId="614073E1">
      <w:pPr>
        <w:keepNext w:val="0"/>
        <w:keepLines w:val="0"/>
        <w:pageBreakBefore w:val="0"/>
        <w:numPr>
          <w:ilvl w:val="0"/>
          <w:numId w:val="1"/>
        </w:numPr>
        <w:kinsoku/>
        <w:wordWrap/>
        <w:overflowPunct/>
        <w:topLinePunct w:val="0"/>
        <w:autoSpaceDE/>
        <w:autoSpaceDN/>
        <w:bidi w:val="0"/>
        <w:adjustRightInd w:val="0"/>
        <w:snapToGrid w:val="0"/>
        <w:spacing w:line="480" w:lineRule="exact"/>
        <w:ind w:firstLine="48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w:t>
      </w:r>
    </w:p>
    <w:p w14:paraId="492F537F">
      <w:pPr>
        <w:pStyle w:val="37"/>
        <w:keepNext w:val="0"/>
        <w:keepLines w:val="0"/>
        <w:pageBreakBefore w:val="0"/>
        <w:kinsoku/>
        <w:wordWrap/>
        <w:overflowPunct/>
        <w:topLinePunct w:val="0"/>
        <w:autoSpaceDE/>
        <w:autoSpaceDN/>
        <w:bidi w:val="0"/>
        <w:adjustRightInd w:val="0"/>
        <w:snapToGrid w:val="0"/>
        <w:spacing w:line="480" w:lineRule="exact"/>
        <w:ind w:left="0" w:firstLine="560"/>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公告成交结果的同时，采购</w:t>
      </w:r>
      <w:r>
        <w:rPr>
          <w:rFonts w:hint="eastAsia" w:ascii="宋体" w:hAnsi="宋体" w:cs="宋体"/>
          <w:color w:val="auto"/>
          <w:sz w:val="28"/>
          <w:szCs w:val="28"/>
          <w:highlight w:val="none"/>
          <w:lang w:eastAsia="zh-CN"/>
        </w:rPr>
        <w:t>人</w:t>
      </w:r>
      <w:r>
        <w:rPr>
          <w:rFonts w:hint="eastAsia" w:ascii="宋体" w:hAnsi="宋体" w:eastAsia="宋体" w:cs="宋体"/>
          <w:bCs/>
          <w:color w:val="auto"/>
          <w:sz w:val="28"/>
          <w:szCs w:val="28"/>
          <w:highlight w:val="none"/>
        </w:rPr>
        <w:t>向成交供应商发放成交通知书。</w:t>
      </w:r>
    </w:p>
    <w:p w14:paraId="3C2F48E1">
      <w:pPr>
        <w:pStyle w:val="37"/>
        <w:keepNext w:val="0"/>
        <w:keepLines w:val="0"/>
        <w:pageBreakBefore w:val="0"/>
        <w:kinsoku/>
        <w:wordWrap/>
        <w:overflowPunct/>
        <w:topLinePunct w:val="0"/>
        <w:autoSpaceDE/>
        <w:autoSpaceDN/>
        <w:bidi w:val="0"/>
        <w:adjustRightInd w:val="0"/>
        <w:snapToGrid w:val="0"/>
        <w:spacing w:line="480" w:lineRule="exact"/>
        <w:ind w:left="0" w:firstLine="56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成交通知书发出后，采购人不得违法改变成交结果，成交供应商无正当理由不得放弃成交。</w:t>
      </w:r>
    </w:p>
    <w:p w14:paraId="78670B51">
      <w:pPr>
        <w:keepNext w:val="0"/>
        <w:keepLines w:val="0"/>
        <w:pageBreakBefore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、授予合同</w:t>
      </w:r>
    </w:p>
    <w:p w14:paraId="242A1A9D">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1.签订合同</w:t>
      </w:r>
    </w:p>
    <w:p w14:paraId="7E4BB9FF">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1.1成交供应商应当在成交通知书发出之日起三十日内，按照采购文件确定的事项与采购人签订政府采购合同。</w:t>
      </w:r>
    </w:p>
    <w:p w14:paraId="3A2B57FC">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1.2采购文件、成交供应商的响应文件及采购过程中有关澄清、承诺文件均应作为合同附件。</w:t>
      </w:r>
    </w:p>
    <w:p w14:paraId="2BDB2B33">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12151667">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2.货物和服务的追加、减少和添购</w:t>
      </w:r>
    </w:p>
    <w:p w14:paraId="4E091CD9">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14:paraId="4EA489D9">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14:paraId="2336DEBB">
      <w:pPr>
        <w:keepNext w:val="0"/>
        <w:keepLines w:val="0"/>
        <w:pageBreakBefore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color w:val="auto"/>
          <w:sz w:val="28"/>
          <w:szCs w:val="28"/>
          <w:highlight w:val="none"/>
        </w:rPr>
      </w:pPr>
      <w:r>
        <w:rPr>
          <w:rFonts w:hint="eastAsia" w:ascii="宋体" w:hAnsi="宋体" w:cs="宋体"/>
          <w:b/>
          <w:color w:val="auto"/>
          <w:sz w:val="28"/>
          <w:szCs w:val="28"/>
          <w:highlight w:val="none"/>
          <w:lang w:val="en-US" w:eastAsia="zh-CN"/>
        </w:rPr>
        <w:t>八</w:t>
      </w:r>
      <w:r>
        <w:rPr>
          <w:rFonts w:hint="eastAsia" w:ascii="宋体" w:hAnsi="宋体" w:eastAsia="宋体" w:cs="宋体"/>
          <w:b/>
          <w:color w:val="auto"/>
          <w:sz w:val="28"/>
          <w:szCs w:val="28"/>
          <w:highlight w:val="none"/>
        </w:rPr>
        <w:t>、其他说明</w:t>
      </w:r>
    </w:p>
    <w:p w14:paraId="0B0B7810">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1.法定代表人为同一个人的两个及两个以上法人，母公司、全资子公司及其控股公司，只能有一家单位参加本项目的响应。</w:t>
      </w:r>
    </w:p>
    <w:p w14:paraId="5209C644">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eastAsia="zh-CN"/>
        </w:rPr>
        <w:t>采购人</w:t>
      </w:r>
      <w:r>
        <w:rPr>
          <w:rFonts w:hint="eastAsia" w:ascii="宋体" w:hAnsi="宋体" w:eastAsia="宋体" w:cs="宋体"/>
          <w:color w:val="auto"/>
          <w:sz w:val="28"/>
          <w:szCs w:val="28"/>
          <w:highlight w:val="none"/>
        </w:rPr>
        <w:t>和询价小组不向未成交的响应供应商解释未成交原因，也不公布评审过程中的相关细节。</w:t>
      </w:r>
    </w:p>
    <w:p w14:paraId="3433F51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rPr>
          <w:rFonts w:ascii="宋体" w:hAnsi="宋体" w:eastAsia="宋体" w:cs="宋体"/>
          <w:b/>
          <w:bCs/>
          <w:color w:val="auto"/>
          <w:spacing w:val="0"/>
          <w:sz w:val="28"/>
          <w:szCs w:val="28"/>
          <w:highlight w:val="none"/>
        </w:rPr>
        <w:sectPr>
          <w:footerReference r:id="rId3" w:type="default"/>
          <w:pgSz w:w="11907" w:h="16839"/>
          <w:pgMar w:top="1431" w:right="1419" w:bottom="1153" w:left="1596" w:header="0" w:footer="988" w:gutter="0"/>
          <w:pgNumType w:fmt="decimal"/>
          <w:cols w:space="720" w:num="1"/>
        </w:sectPr>
      </w:pPr>
      <w:r>
        <w:rPr>
          <w:rFonts w:hint="eastAsia" w:ascii="宋体" w:hAnsi="宋体" w:eastAsia="宋体" w:cs="宋体"/>
          <w:b/>
          <w:bCs/>
          <w:color w:val="auto"/>
          <w:spacing w:val="0"/>
          <w:sz w:val="28"/>
          <w:szCs w:val="28"/>
          <w:highlight w:val="none"/>
          <w:lang w:val="en-US" w:eastAsia="zh-CN"/>
        </w:rPr>
        <w:t>3.</w:t>
      </w:r>
      <w:r>
        <w:rPr>
          <w:rFonts w:hint="eastAsia" w:ascii="宋体" w:hAnsi="宋体" w:eastAsia="宋体" w:cs="宋体"/>
          <w:b/>
          <w:bCs/>
          <w:color w:val="auto"/>
          <w:spacing w:val="0"/>
          <w:sz w:val="28"/>
          <w:szCs w:val="28"/>
          <w:highlight w:val="none"/>
        </w:rPr>
        <w:t>已被列入</w:t>
      </w:r>
      <w:r>
        <w:rPr>
          <w:rFonts w:hint="eastAsia" w:ascii="宋体" w:hAnsi="宋体" w:eastAsia="宋体" w:cs="宋体"/>
          <w:b/>
          <w:bCs/>
          <w:color w:val="auto"/>
          <w:spacing w:val="0"/>
          <w:sz w:val="28"/>
          <w:szCs w:val="28"/>
          <w:highlight w:val="none"/>
          <w:lang w:val="en-US" w:eastAsia="zh-CN"/>
        </w:rPr>
        <w:t>启东城投集团有限公司</w:t>
      </w:r>
      <w:r>
        <w:rPr>
          <w:rFonts w:hint="eastAsia" w:ascii="宋体" w:hAnsi="宋体" w:eastAsia="宋体" w:cs="宋体"/>
          <w:b/>
          <w:bCs/>
          <w:color w:val="auto"/>
          <w:spacing w:val="0"/>
          <w:sz w:val="28"/>
          <w:szCs w:val="28"/>
          <w:highlight w:val="none"/>
        </w:rPr>
        <w:t>供应商不良信用库的单位不得参与</w:t>
      </w:r>
      <w:r>
        <w:rPr>
          <w:rFonts w:hint="eastAsia" w:ascii="宋体" w:hAnsi="宋体" w:eastAsia="宋体" w:cs="宋体"/>
          <w:b/>
          <w:bCs/>
          <w:color w:val="auto"/>
          <w:spacing w:val="0"/>
          <w:sz w:val="28"/>
          <w:szCs w:val="28"/>
          <w:highlight w:val="none"/>
          <w:lang w:val="en-US" w:eastAsia="zh-CN"/>
        </w:rPr>
        <w:t>启东城投集团有限公司</w:t>
      </w:r>
      <w:r>
        <w:rPr>
          <w:rFonts w:hint="eastAsia" w:ascii="宋体" w:hAnsi="宋体" w:eastAsia="宋体" w:cs="宋体"/>
          <w:b/>
          <w:bCs/>
          <w:color w:val="auto"/>
          <w:spacing w:val="0"/>
          <w:sz w:val="28"/>
          <w:szCs w:val="28"/>
          <w:highlight w:val="none"/>
        </w:rPr>
        <w:t>及下属子公司任何项目投标。</w:t>
      </w:r>
    </w:p>
    <w:p w14:paraId="36553AD2">
      <w:pPr>
        <w:pStyle w:val="4"/>
        <w:widowControl/>
        <w:adjustRightInd w:val="0"/>
        <w:snapToGrid w:val="0"/>
        <w:spacing w:before="0" w:after="0" w:line="500" w:lineRule="exact"/>
        <w:jc w:val="center"/>
        <w:rPr>
          <w:rFonts w:hint="eastAsia" w:ascii="宋体" w:hAnsi="宋体" w:eastAsia="宋体" w:cs="宋体"/>
          <w:b w:val="0"/>
          <w:color w:val="auto"/>
          <w:sz w:val="36"/>
          <w:szCs w:val="36"/>
          <w:highlight w:val="none"/>
        </w:rPr>
      </w:pPr>
      <w:bookmarkStart w:id="52" w:name="_Toc32735"/>
      <w:r>
        <w:rPr>
          <w:rFonts w:hint="eastAsia" w:ascii="宋体" w:hAnsi="宋体" w:eastAsia="宋体" w:cs="宋体"/>
          <w:b w:val="0"/>
          <w:color w:val="auto"/>
          <w:sz w:val="36"/>
          <w:szCs w:val="36"/>
          <w:highlight w:val="none"/>
        </w:rPr>
        <w:t>第三部分  项目需求</w:t>
      </w:r>
    </w:p>
    <w:p w14:paraId="578D4BF4">
      <w:pPr>
        <w:spacing w:before="141" w:line="325" w:lineRule="auto"/>
        <w:ind w:right="63" w:firstLine="576"/>
        <w:rPr>
          <w:rFonts w:ascii="宋体" w:hAnsi="宋体" w:eastAsia="宋体" w:cs="宋体"/>
          <w:color w:val="auto"/>
          <w:sz w:val="28"/>
          <w:szCs w:val="28"/>
          <w:highlight w:val="none"/>
        </w:rPr>
      </w:pPr>
      <w:bookmarkStart w:id="53" w:name="_Toc82505665"/>
      <w:r>
        <w:rPr>
          <w:rFonts w:ascii="宋体" w:hAnsi="宋体" w:eastAsia="宋体" w:cs="宋体"/>
          <w:b/>
          <w:bCs/>
          <w:color w:val="auto"/>
          <w:spacing w:val="-6"/>
          <w:sz w:val="28"/>
          <w:szCs w:val="28"/>
          <w:highlight w:val="none"/>
        </w:rPr>
        <w:t>响应供应商在制作响应文件时仔细研究项目需求说明。项目需求包括</w:t>
      </w:r>
      <w:r>
        <w:rPr>
          <w:rFonts w:ascii="宋体" w:hAnsi="宋体" w:eastAsia="宋体" w:cs="宋体"/>
          <w:color w:val="auto"/>
          <w:spacing w:val="7"/>
          <w:sz w:val="28"/>
          <w:szCs w:val="28"/>
          <w:highlight w:val="none"/>
        </w:rPr>
        <w:t xml:space="preserve"> </w:t>
      </w:r>
      <w:r>
        <w:rPr>
          <w:rFonts w:ascii="宋体" w:hAnsi="宋体" w:eastAsia="宋体" w:cs="宋体"/>
          <w:b/>
          <w:bCs/>
          <w:color w:val="auto"/>
          <w:spacing w:val="-1"/>
          <w:sz w:val="28"/>
          <w:szCs w:val="28"/>
          <w:highlight w:val="none"/>
        </w:rPr>
        <w:t>技术要求和商务要求:技术要求是指对采购标的功能和质量要求，包括性</w:t>
      </w:r>
      <w:r>
        <w:rPr>
          <w:rFonts w:ascii="宋体" w:hAnsi="宋体" w:eastAsia="宋体" w:cs="宋体"/>
          <w:color w:val="auto"/>
          <w:spacing w:val="11"/>
          <w:sz w:val="28"/>
          <w:szCs w:val="28"/>
          <w:highlight w:val="none"/>
        </w:rPr>
        <w:t xml:space="preserve"> </w:t>
      </w:r>
      <w:r>
        <w:rPr>
          <w:rFonts w:ascii="宋体" w:hAnsi="宋体" w:eastAsia="宋体" w:cs="宋体"/>
          <w:b/>
          <w:bCs/>
          <w:color w:val="auto"/>
          <w:spacing w:val="-11"/>
          <w:sz w:val="28"/>
          <w:szCs w:val="28"/>
          <w:highlight w:val="none"/>
        </w:rPr>
        <w:t>能、材料、结构、外观、安全，或者服务内容和标准等</w:t>
      </w:r>
      <w:r>
        <w:rPr>
          <w:rFonts w:ascii="宋体" w:hAnsi="宋体" w:eastAsia="宋体" w:cs="宋体"/>
          <w:color w:val="auto"/>
          <w:spacing w:val="-81"/>
          <w:sz w:val="28"/>
          <w:szCs w:val="28"/>
          <w:highlight w:val="none"/>
        </w:rPr>
        <w:t xml:space="preserve"> </w:t>
      </w:r>
      <w:r>
        <w:rPr>
          <w:rFonts w:ascii="宋体" w:hAnsi="宋体" w:eastAsia="宋体" w:cs="宋体"/>
          <w:b/>
          <w:bCs/>
          <w:color w:val="auto"/>
          <w:spacing w:val="-11"/>
          <w:sz w:val="28"/>
          <w:szCs w:val="28"/>
          <w:highlight w:val="none"/>
        </w:rPr>
        <w:t>;商务要求是指取得</w:t>
      </w:r>
      <w:r>
        <w:rPr>
          <w:rFonts w:ascii="宋体" w:hAnsi="宋体" w:eastAsia="宋体" w:cs="宋体"/>
          <w:color w:val="auto"/>
          <w:sz w:val="28"/>
          <w:szCs w:val="28"/>
          <w:highlight w:val="none"/>
        </w:rPr>
        <w:t xml:space="preserve"> </w:t>
      </w:r>
      <w:r>
        <w:rPr>
          <w:rFonts w:ascii="宋体" w:hAnsi="宋体" w:eastAsia="宋体" w:cs="宋体"/>
          <w:b/>
          <w:bCs/>
          <w:color w:val="auto"/>
          <w:spacing w:val="-6"/>
          <w:sz w:val="28"/>
          <w:szCs w:val="28"/>
          <w:highlight w:val="none"/>
        </w:rPr>
        <w:t>采购标的的时间、地点、财务和服务要求，包括交付（实施）的时间（期</w:t>
      </w:r>
      <w:r>
        <w:rPr>
          <w:rFonts w:ascii="宋体" w:hAnsi="宋体" w:eastAsia="宋体" w:cs="宋体"/>
          <w:color w:val="auto"/>
          <w:spacing w:val="12"/>
          <w:sz w:val="28"/>
          <w:szCs w:val="28"/>
          <w:highlight w:val="none"/>
        </w:rPr>
        <w:t xml:space="preserve"> </w:t>
      </w:r>
      <w:r>
        <w:rPr>
          <w:rFonts w:ascii="宋体" w:hAnsi="宋体" w:eastAsia="宋体" w:cs="宋体"/>
          <w:b/>
          <w:bCs/>
          <w:color w:val="auto"/>
          <w:spacing w:val="-10"/>
          <w:sz w:val="28"/>
          <w:szCs w:val="28"/>
          <w:highlight w:val="none"/>
        </w:rPr>
        <w:t>限）和地点（范围</w:t>
      </w:r>
      <w:r>
        <w:rPr>
          <w:rFonts w:ascii="宋体" w:hAnsi="宋体" w:eastAsia="宋体" w:cs="宋体"/>
          <w:b/>
          <w:bCs/>
          <w:color w:val="auto"/>
          <w:spacing w:val="-39"/>
          <w:sz w:val="28"/>
          <w:szCs w:val="28"/>
          <w:highlight w:val="none"/>
        </w:rPr>
        <w:t>），</w:t>
      </w:r>
      <w:r>
        <w:rPr>
          <w:rFonts w:ascii="宋体" w:hAnsi="宋体" w:eastAsia="宋体" w:cs="宋体"/>
          <w:b/>
          <w:bCs/>
          <w:color w:val="auto"/>
          <w:spacing w:val="-10"/>
          <w:sz w:val="28"/>
          <w:szCs w:val="28"/>
          <w:highlight w:val="none"/>
        </w:rPr>
        <w:t>付款条件（进度和方法</w:t>
      </w:r>
      <w:r>
        <w:rPr>
          <w:rFonts w:ascii="宋体" w:hAnsi="宋体" w:eastAsia="宋体" w:cs="宋体"/>
          <w:b/>
          <w:bCs/>
          <w:color w:val="auto"/>
          <w:spacing w:val="-39"/>
          <w:sz w:val="28"/>
          <w:szCs w:val="28"/>
          <w:highlight w:val="none"/>
        </w:rPr>
        <w:t>），</w:t>
      </w:r>
      <w:r>
        <w:rPr>
          <w:rFonts w:ascii="宋体" w:hAnsi="宋体" w:eastAsia="宋体" w:cs="宋体"/>
          <w:b/>
          <w:bCs/>
          <w:color w:val="auto"/>
          <w:spacing w:val="-10"/>
          <w:sz w:val="28"/>
          <w:szCs w:val="28"/>
          <w:highlight w:val="none"/>
        </w:rPr>
        <w:t>包装和运输，售后服务，</w:t>
      </w:r>
      <w:r>
        <w:rPr>
          <w:rFonts w:ascii="宋体" w:hAnsi="宋体" w:eastAsia="宋体" w:cs="宋体"/>
          <w:b/>
          <w:bCs/>
          <w:color w:val="auto"/>
          <w:spacing w:val="-5"/>
          <w:sz w:val="28"/>
          <w:szCs w:val="28"/>
          <w:highlight w:val="none"/>
        </w:rPr>
        <w:t>保险等。</w:t>
      </w:r>
    </w:p>
    <w:p w14:paraId="563835C1">
      <w:pPr>
        <w:spacing w:before="40" w:line="323" w:lineRule="auto"/>
        <w:ind w:left="1" w:right="64" w:firstLine="575"/>
        <w:jc w:val="both"/>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响应供应商不能简单照搬照抄采购文件项目需求说明中的技术、商务</w:t>
      </w:r>
      <w:r>
        <w:rPr>
          <w:rFonts w:ascii="宋体" w:hAnsi="宋体" w:eastAsia="宋体" w:cs="宋体"/>
          <w:b/>
          <w:bCs/>
          <w:color w:val="auto"/>
          <w:spacing w:val="-5"/>
          <w:sz w:val="28"/>
          <w:szCs w:val="28"/>
          <w:highlight w:val="none"/>
        </w:rPr>
        <w:t>要求，必须作实事求是的响应。如响应供应商提供的货物和服务同</w:t>
      </w:r>
      <w:r>
        <w:rPr>
          <w:rFonts w:ascii="宋体" w:hAnsi="宋体" w:eastAsia="宋体" w:cs="宋体"/>
          <w:b/>
          <w:bCs/>
          <w:color w:val="auto"/>
          <w:spacing w:val="-6"/>
          <w:sz w:val="28"/>
          <w:szCs w:val="28"/>
          <w:highlight w:val="none"/>
        </w:rPr>
        <w:t>采购人</w:t>
      </w:r>
      <w:r>
        <w:rPr>
          <w:rFonts w:ascii="宋体" w:hAnsi="宋体" w:eastAsia="宋体" w:cs="宋体"/>
          <w:b/>
          <w:bCs/>
          <w:color w:val="auto"/>
          <w:spacing w:val="-5"/>
          <w:sz w:val="28"/>
          <w:szCs w:val="28"/>
          <w:highlight w:val="none"/>
        </w:rPr>
        <w:t>提出的项目需求说明中的技术、商务要求不同的，必须</w:t>
      </w:r>
      <w:r>
        <w:rPr>
          <w:rFonts w:hint="eastAsia" w:ascii="宋体" w:hAnsi="宋体" w:cs="宋体"/>
          <w:b/>
          <w:bCs/>
          <w:color w:val="auto"/>
          <w:spacing w:val="-5"/>
          <w:sz w:val="28"/>
          <w:szCs w:val="28"/>
          <w:highlight w:val="none"/>
          <w:lang w:val="en-US" w:eastAsia="zh-CN"/>
        </w:rPr>
        <w:t>在投标文件内</w:t>
      </w:r>
      <w:r>
        <w:rPr>
          <w:rFonts w:ascii="宋体" w:hAnsi="宋体" w:eastAsia="宋体" w:cs="宋体"/>
          <w:b/>
          <w:bCs/>
          <w:color w:val="auto"/>
          <w:spacing w:val="-3"/>
          <w:sz w:val="28"/>
          <w:szCs w:val="28"/>
          <w:highlight w:val="none"/>
        </w:rPr>
        <w:t>明示。</w:t>
      </w:r>
    </w:p>
    <w:p w14:paraId="4E86A44E">
      <w:pPr>
        <w:spacing w:before="42" w:line="220" w:lineRule="auto"/>
        <w:ind w:left="563"/>
        <w:rPr>
          <w:rFonts w:ascii="宋体" w:hAnsi="宋体" w:eastAsia="宋体" w:cs="宋体"/>
          <w:color w:val="auto"/>
          <w:sz w:val="28"/>
          <w:szCs w:val="28"/>
          <w:highlight w:val="none"/>
        </w:rPr>
      </w:pPr>
      <w:r>
        <w:rPr>
          <w:rFonts w:ascii="宋体" w:hAnsi="宋体" w:eastAsia="宋体" w:cs="宋体"/>
          <w:b/>
          <w:bCs/>
          <w:color w:val="auto"/>
          <w:spacing w:val="-12"/>
          <w:sz w:val="28"/>
          <w:szCs w:val="28"/>
          <w:highlight w:val="none"/>
        </w:rPr>
        <w:t>其内容包含：</w:t>
      </w:r>
    </w:p>
    <w:p w14:paraId="2ED6F115">
      <w:pPr>
        <w:spacing w:before="166" w:line="219" w:lineRule="auto"/>
        <w:ind w:left="567"/>
        <w:outlineLvl w:val="3"/>
        <w:rPr>
          <w:rFonts w:ascii="宋体" w:hAnsi="宋体" w:eastAsia="宋体" w:cs="宋体"/>
          <w:color w:val="auto"/>
          <w:sz w:val="28"/>
          <w:szCs w:val="28"/>
          <w:highlight w:val="none"/>
        </w:rPr>
      </w:pPr>
      <w:r>
        <w:rPr>
          <w:rFonts w:ascii="宋体" w:hAnsi="宋体" w:eastAsia="宋体" w:cs="宋体"/>
          <w:b/>
          <w:bCs/>
          <w:color w:val="auto"/>
          <w:spacing w:val="-10"/>
          <w:sz w:val="28"/>
          <w:szCs w:val="28"/>
          <w:highlight w:val="none"/>
        </w:rPr>
        <w:t>一、采购货物清单：</w:t>
      </w:r>
    </w:p>
    <w:p w14:paraId="079E9E86">
      <w:pPr>
        <w:spacing w:line="73" w:lineRule="auto"/>
        <w:rPr>
          <w:rFonts w:ascii="Arial"/>
          <w:color w:val="auto"/>
          <w:sz w:val="2"/>
          <w:highlight w:val="none"/>
        </w:rPr>
      </w:pPr>
    </w:p>
    <w:tbl>
      <w:tblPr>
        <w:tblStyle w:val="16"/>
        <w:tblW w:w="505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1787"/>
        <w:gridCol w:w="1608"/>
        <w:gridCol w:w="516"/>
        <w:gridCol w:w="660"/>
        <w:gridCol w:w="4160"/>
      </w:tblGrid>
      <w:tr w14:paraId="3F1C8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44DE2A4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序号</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42D0E63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主要部件名称</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1579E42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性能参数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53D9613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单位</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4AFE34F5">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w:t>
            </w:r>
          </w:p>
          <w:p w14:paraId="4692AF8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量</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6476CC3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备注</w:t>
            </w:r>
          </w:p>
        </w:tc>
      </w:tr>
      <w:tr w14:paraId="6D896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239EBD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6F5F20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给水增压设备(A区) (二用一备)</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17B86F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6"/>
                <w:kern w:val="0"/>
                <w:sz w:val="21"/>
                <w:szCs w:val="21"/>
                <w:u w:val="none"/>
                <w:lang w:val="en-US" w:eastAsia="zh-CN" w:bidi="ar"/>
              </w:rPr>
              <w:t xml:space="preserve">流量：14.53m³/H </w:t>
            </w:r>
            <w:r>
              <w:rPr>
                <w:rFonts w:hint="eastAsia" w:ascii="仿宋" w:hAnsi="仿宋" w:eastAsia="仿宋" w:cs="仿宋"/>
                <w:i w:val="0"/>
                <w:iCs w:val="0"/>
                <w:color w:val="000000"/>
                <w:kern w:val="0"/>
                <w:sz w:val="21"/>
                <w:szCs w:val="21"/>
                <w:u w:val="none"/>
                <w:lang w:val="en-US" w:eastAsia="zh-CN" w:bidi="ar"/>
              </w:rPr>
              <w:t xml:space="preserve"> 扬程：48.84米 功率：4KW</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370C4F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40492C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07DC7196">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设备（水泵、进入口气压罐需硬管连接，压力罐等级1.6MPA，不小于80L、整体不锈钢底座基础、直径不小于600稳流罐（实测壁厚5MM）、水泵进水偏心变径、出口同心变径，至少大一级、水泵进出口先后柔性接头，出水总管距离地面1M高度，</w:t>
            </w:r>
            <w:r>
              <w:rPr>
                <w:rFonts w:hint="eastAsia" w:ascii="仿宋" w:hAnsi="仿宋" w:eastAsia="仿宋" w:cs="仿宋"/>
                <w:b/>
                <w:bCs/>
                <w:i w:val="0"/>
                <w:iCs w:val="0"/>
                <w:color w:val="000000"/>
                <w:kern w:val="0"/>
                <w:sz w:val="21"/>
                <w:szCs w:val="21"/>
                <w:highlight w:val="none"/>
                <w:u w:val="none"/>
                <w:lang w:val="en-US" w:eastAsia="zh-CN" w:bidi="ar"/>
              </w:rPr>
              <w:t>阀门需采用投标商的自有品牌</w:t>
            </w:r>
            <w:r>
              <w:rPr>
                <w:rFonts w:hint="eastAsia" w:ascii="仿宋" w:hAnsi="仿宋" w:eastAsia="仿宋" w:cs="仿宋"/>
                <w:i w:val="0"/>
                <w:iCs w:val="0"/>
                <w:color w:val="000000"/>
                <w:kern w:val="0"/>
                <w:sz w:val="21"/>
                <w:szCs w:val="21"/>
                <w:highlight w:val="none"/>
                <w:u w:val="none"/>
                <w:lang w:val="en-US" w:eastAsia="zh-CN" w:bidi="ar"/>
              </w:rPr>
              <w:t>（</w:t>
            </w:r>
            <w:r>
              <w:rPr>
                <w:rFonts w:hint="eastAsia" w:ascii="仿宋" w:hAnsi="仿宋" w:eastAsia="仿宋" w:cs="仿宋"/>
                <w:b/>
                <w:bCs/>
                <w:i w:val="0"/>
                <w:iCs w:val="0"/>
                <w:color w:val="000000"/>
                <w:kern w:val="0"/>
                <w:sz w:val="21"/>
                <w:szCs w:val="21"/>
                <w:highlight w:val="none"/>
                <w:u w:val="none"/>
                <w:lang w:val="en-US" w:eastAsia="zh-CN" w:bidi="ar"/>
              </w:rPr>
              <w:t>提供检测报告）。</w:t>
            </w:r>
          </w:p>
        </w:tc>
      </w:tr>
      <w:tr w14:paraId="7FE21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71804E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5281A2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给水增压设备(B区) (二用一备)</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2BE933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6"/>
                <w:kern w:val="0"/>
                <w:sz w:val="21"/>
                <w:szCs w:val="21"/>
                <w:u w:val="none"/>
                <w:lang w:val="en-US" w:eastAsia="zh-CN" w:bidi="ar"/>
              </w:rPr>
              <w:t xml:space="preserve">流量：13.65m³/H </w:t>
            </w:r>
            <w:r>
              <w:rPr>
                <w:rFonts w:hint="eastAsia" w:ascii="仿宋" w:hAnsi="仿宋" w:eastAsia="仿宋" w:cs="仿宋"/>
                <w:i w:val="0"/>
                <w:iCs w:val="0"/>
                <w:color w:val="000000"/>
                <w:kern w:val="0"/>
                <w:sz w:val="21"/>
                <w:szCs w:val="21"/>
                <w:u w:val="none"/>
                <w:lang w:val="en-US" w:eastAsia="zh-CN" w:bidi="ar"/>
              </w:rPr>
              <w:t xml:space="preserve"> 扬程：61.97米 功率：4KW</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6DD115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23898A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79228223">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设备（水泵、进入口气压罐需硬管连接，压力罐等级1.6MPA，不小于80L、整体不锈钢底座基础、直径不小于600稳流罐（实测壁厚5MM）、水泵进水偏心变径、出口同心变径，至少大一级、水泵进出口先后柔性接头，出水总管距离地面1M高度，</w:t>
            </w:r>
            <w:r>
              <w:rPr>
                <w:rFonts w:hint="eastAsia" w:ascii="仿宋" w:hAnsi="仿宋" w:eastAsia="仿宋" w:cs="仿宋"/>
                <w:b/>
                <w:bCs/>
                <w:i w:val="0"/>
                <w:iCs w:val="0"/>
                <w:color w:val="000000"/>
                <w:kern w:val="0"/>
                <w:sz w:val="21"/>
                <w:szCs w:val="21"/>
                <w:highlight w:val="none"/>
                <w:u w:val="none"/>
                <w:lang w:val="en-US" w:eastAsia="zh-CN" w:bidi="ar"/>
              </w:rPr>
              <w:t>阀门需采用投标商的自有品牌（提供检测报告）。</w:t>
            </w:r>
          </w:p>
        </w:tc>
      </w:tr>
      <w:tr w14:paraId="3C62E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3B5659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3A5AC4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给水增压设备(C区) (二用一备)</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1F4846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6"/>
                <w:kern w:val="0"/>
                <w:sz w:val="21"/>
                <w:szCs w:val="21"/>
                <w:u w:val="none"/>
                <w:lang w:val="en-US" w:eastAsia="zh-CN" w:bidi="ar"/>
              </w:rPr>
              <w:t xml:space="preserve">流量：14.58m³/H </w:t>
            </w:r>
            <w:r>
              <w:rPr>
                <w:rFonts w:hint="eastAsia" w:ascii="仿宋" w:hAnsi="仿宋" w:eastAsia="仿宋" w:cs="仿宋"/>
                <w:i w:val="0"/>
                <w:iCs w:val="0"/>
                <w:color w:val="000000"/>
                <w:kern w:val="0"/>
                <w:sz w:val="21"/>
                <w:szCs w:val="21"/>
                <w:u w:val="none"/>
                <w:lang w:val="en-US" w:eastAsia="zh-CN" w:bidi="ar"/>
              </w:rPr>
              <w:t xml:space="preserve"> 扬程：85.12米 功率：5.5KW</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6488CD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0510AE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6F86A357">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设备（水泵、进入口气压罐需硬管连接，压力罐等级1.6MPA，不小于80L、整体不锈钢底座基础、直径不小于600稳流罐（实测壁厚5MM）、水泵进水偏心变径、出口同心变径，至少大一级、水泵进出口先后柔性接头，出水总管距离地面1M高度，</w:t>
            </w:r>
            <w:r>
              <w:rPr>
                <w:rFonts w:hint="eastAsia" w:ascii="仿宋" w:hAnsi="仿宋" w:eastAsia="仿宋" w:cs="仿宋"/>
                <w:b/>
                <w:bCs/>
                <w:i w:val="0"/>
                <w:iCs w:val="0"/>
                <w:color w:val="000000"/>
                <w:kern w:val="0"/>
                <w:sz w:val="21"/>
                <w:szCs w:val="21"/>
                <w:highlight w:val="none"/>
                <w:u w:val="none"/>
                <w:lang w:val="en-US" w:eastAsia="zh-CN" w:bidi="ar"/>
              </w:rPr>
              <w:t>阀门需采用投标商的自有品牌（提供检测报告）。</w:t>
            </w:r>
          </w:p>
        </w:tc>
      </w:tr>
      <w:tr w14:paraId="25F8E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7A49B6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10B32F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增压泵</w:t>
            </w:r>
            <w:r>
              <w:rPr>
                <w:rStyle w:val="43"/>
                <w:rFonts w:hint="eastAsia" w:ascii="仿宋" w:hAnsi="仿宋" w:eastAsia="仿宋" w:cs="仿宋"/>
                <w:sz w:val="21"/>
                <w:szCs w:val="21"/>
                <w:lang w:val="en-US" w:eastAsia="zh-CN" w:bidi="ar"/>
              </w:rPr>
              <w:t>(</w:t>
            </w:r>
            <w:r>
              <w:rPr>
                <w:rStyle w:val="44"/>
                <w:rFonts w:hint="eastAsia" w:ascii="仿宋" w:hAnsi="仿宋" w:eastAsia="仿宋" w:cs="仿宋"/>
                <w:sz w:val="21"/>
                <w:szCs w:val="21"/>
                <w:lang w:val="en-US" w:eastAsia="zh-CN" w:bidi="ar"/>
              </w:rPr>
              <w:t>调峰</w:t>
            </w:r>
            <w:r>
              <w:rPr>
                <w:rStyle w:val="43"/>
                <w:rFonts w:hint="eastAsia" w:ascii="仿宋" w:hAnsi="仿宋" w:eastAsia="仿宋" w:cs="仿宋"/>
                <w:sz w:val="21"/>
                <w:szCs w:val="21"/>
                <w:lang w:val="en-US" w:eastAsia="zh-CN" w:bidi="ar"/>
              </w:rPr>
              <w:t>)</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4F4E8E5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spacing w:val="-6"/>
                <w:kern w:val="0"/>
                <w:sz w:val="21"/>
                <w:szCs w:val="21"/>
                <w:u w:val="none"/>
                <w:lang w:val="en-US" w:eastAsia="zh-CN" w:bidi="ar"/>
              </w:rPr>
              <w:t xml:space="preserve">流量：30.68m³/H  </w:t>
            </w:r>
            <w:r>
              <w:rPr>
                <w:rFonts w:hint="eastAsia" w:ascii="仿宋" w:hAnsi="仿宋" w:eastAsia="仿宋" w:cs="仿宋"/>
                <w:i w:val="0"/>
                <w:iCs w:val="0"/>
                <w:color w:val="000000"/>
                <w:kern w:val="0"/>
                <w:sz w:val="21"/>
                <w:szCs w:val="21"/>
                <w:u w:val="none"/>
                <w:lang w:val="en-US" w:eastAsia="zh-CN" w:bidi="ar"/>
              </w:rPr>
              <w:t xml:space="preserve"> 扬程：36.95米  </w:t>
            </w:r>
          </w:p>
          <w:p w14:paraId="46FA76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功率：5.5KW</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2A5817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69211A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784160CE">
            <w:pPr>
              <w:jc w:val="center"/>
              <w:rPr>
                <w:rFonts w:hint="eastAsia" w:ascii="仿宋" w:hAnsi="仿宋" w:eastAsia="仿宋" w:cs="仿宋"/>
                <w:i w:val="0"/>
                <w:iCs w:val="0"/>
                <w:color w:val="000000"/>
                <w:sz w:val="21"/>
                <w:szCs w:val="21"/>
                <w:u w:val="none"/>
              </w:rPr>
            </w:pPr>
          </w:p>
        </w:tc>
      </w:tr>
      <w:tr w14:paraId="632F8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0ABF62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7771D7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无缝不锈钢管</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3E3D16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DN150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6E6E0F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280A48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47E66D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食品级304不锈钢无缝管道</w:t>
            </w:r>
          </w:p>
        </w:tc>
      </w:tr>
      <w:tr w14:paraId="3D577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0A1747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14744D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无缝不锈钢管</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04121E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DN100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0583E0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797A78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74.5</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7F105E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食品级304不锈钢无缝管道</w:t>
            </w:r>
          </w:p>
        </w:tc>
      </w:tr>
      <w:tr w14:paraId="0052E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1E2CA7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1D0E3F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无缝不锈钢管</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002AC0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DN50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6C28E8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511935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781F61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食品级304不锈钢无缝管道</w:t>
            </w:r>
          </w:p>
        </w:tc>
      </w:tr>
      <w:tr w14:paraId="5E614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4BFC77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13451B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无缝不锈钢管</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4607E7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DN20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059A29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5554C1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06B53A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食品级304不锈钢无缝管道</w:t>
            </w:r>
          </w:p>
        </w:tc>
      </w:tr>
      <w:tr w14:paraId="494C9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5E8972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1F80B5F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不锈钢焊接</w:t>
            </w:r>
          </w:p>
          <w:p w14:paraId="53EB8F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法兰片</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7A4C6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DN150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687149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5C4208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08E9C4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食品级304不锈钢材质</w:t>
            </w:r>
          </w:p>
        </w:tc>
      </w:tr>
      <w:tr w14:paraId="741A9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272DCAF0">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10</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565B9EC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不锈钢焊接</w:t>
            </w:r>
          </w:p>
          <w:p w14:paraId="71403B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法兰片</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245CFF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DN100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0BEF03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6D4668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386E70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食品级304不锈钢材质</w:t>
            </w:r>
          </w:p>
        </w:tc>
      </w:tr>
      <w:tr w14:paraId="6BBF4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15A5A91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11</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5F376C0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不锈钢焊接</w:t>
            </w:r>
          </w:p>
          <w:p w14:paraId="3C2F84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法兰片</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2A0D57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DN50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06E897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456D11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1F597A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食品级304不锈钢材质</w:t>
            </w:r>
          </w:p>
        </w:tc>
      </w:tr>
      <w:tr w14:paraId="1787A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733F3B4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12</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0BBCAC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不锈钢弯头</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5C1D39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DN150*90°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1AEF26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731C38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1BC176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食品级304不锈钢材质</w:t>
            </w:r>
          </w:p>
        </w:tc>
      </w:tr>
      <w:tr w14:paraId="6F2A2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4364D3C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13</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18EA9F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不锈钢弯头</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450154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DN100*90°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4FE086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4AADF0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74D3B6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食品级304不锈钢材质</w:t>
            </w:r>
          </w:p>
        </w:tc>
      </w:tr>
      <w:tr w14:paraId="70356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6AED732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14</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003CD0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不锈钢弯头</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54FF25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DN20*90°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6DE042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090A6A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7CBE87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食品级304不锈钢材质</w:t>
            </w:r>
          </w:p>
        </w:tc>
      </w:tr>
      <w:tr w14:paraId="3C51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086DB23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15</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73827C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不锈钢等径三通</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2366A5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DN150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473080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449172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0D3491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食品级304不锈钢材质</w:t>
            </w:r>
          </w:p>
        </w:tc>
      </w:tr>
      <w:tr w14:paraId="1D1F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3D1D1E0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16</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207C15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不锈钢等径三通</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334BA8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DN100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7AD73D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025141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4E8461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食品级304不锈钢材质</w:t>
            </w:r>
          </w:p>
        </w:tc>
      </w:tr>
      <w:tr w14:paraId="14519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40D1471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17</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638938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不锈钢异径三通</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0E6D6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DN100*20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6A264A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3AFA57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45F4B7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食品级304不锈钢材质</w:t>
            </w:r>
          </w:p>
        </w:tc>
      </w:tr>
      <w:tr w14:paraId="3269A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5FF0FC8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18</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1D6CB6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不锈钢异径三通</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468D55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DN150*100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2F2E82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19D65F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5D9CA2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食品级304不锈钢材质</w:t>
            </w:r>
          </w:p>
        </w:tc>
      </w:tr>
      <w:tr w14:paraId="420C4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2E011AF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19</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4C3090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不锈钢异径三通</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0210B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DN100*50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513535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35B5FE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3E9EDA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食品级304不锈钢材质</w:t>
            </w:r>
          </w:p>
        </w:tc>
      </w:tr>
      <w:tr w14:paraId="1F4A8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14BDFFD0">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20</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2D8A15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不锈钢异径三通</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42173B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DN100*20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42422C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103191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2E2C0E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食品级304不锈钢材质</w:t>
            </w:r>
          </w:p>
        </w:tc>
      </w:tr>
      <w:tr w14:paraId="725AA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2E1E161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21</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22AD5F2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法兰式不锈钢大小头</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C14B6A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DN150*100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55942A8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7409BF9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1525DFF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食品级</w:t>
            </w:r>
            <w:r>
              <w:rPr>
                <w:rFonts w:hint="eastAsia" w:ascii="仿宋" w:hAnsi="仿宋" w:eastAsia="仿宋" w:cs="仿宋"/>
                <w:i w:val="0"/>
                <w:iCs w:val="0"/>
                <w:color w:val="auto"/>
                <w:kern w:val="0"/>
                <w:sz w:val="21"/>
                <w:szCs w:val="21"/>
                <w:u w:val="none"/>
                <w:lang w:val="en-US" w:eastAsia="zh-CN" w:bidi="ar"/>
              </w:rPr>
              <w:t>304不锈钢材质</w:t>
            </w:r>
          </w:p>
        </w:tc>
      </w:tr>
      <w:tr w14:paraId="42B1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64B49AF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22</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3DBE9B2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法兰衬胶蝶阀电动头</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213AED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DN100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1779FD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498959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7CDBEB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0BAA0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667140D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23</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63234FC0">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法兰衬胶蝶阀电动头</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7BCB5F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DN150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03B8A5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340E64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7BA1E9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5DB8E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50A60E8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24</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6A413B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不锈钢伸缩节</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1A72FF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(VSSJA-2)  DN100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7B0052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27733A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214656E8">
            <w:pPr>
              <w:jc w:val="center"/>
              <w:rPr>
                <w:rFonts w:hint="eastAsia" w:ascii="仿宋" w:hAnsi="仿宋" w:eastAsia="仿宋" w:cs="仿宋"/>
                <w:i w:val="0"/>
                <w:iCs w:val="0"/>
                <w:color w:val="000000"/>
                <w:sz w:val="21"/>
                <w:szCs w:val="21"/>
                <w:u w:val="none"/>
              </w:rPr>
            </w:pPr>
          </w:p>
        </w:tc>
      </w:tr>
      <w:tr w14:paraId="4D6D8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2F5E37C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25</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4C3AE3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不锈钢伸缩节</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3DAB03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（VSSJA-2） DN150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224078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6CF2EF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34A1B0F1">
            <w:pPr>
              <w:jc w:val="center"/>
              <w:rPr>
                <w:rFonts w:hint="eastAsia" w:ascii="仿宋" w:hAnsi="仿宋" w:eastAsia="仿宋" w:cs="仿宋"/>
                <w:i w:val="0"/>
                <w:iCs w:val="0"/>
                <w:color w:val="000000"/>
                <w:sz w:val="21"/>
                <w:szCs w:val="21"/>
                <w:u w:val="none"/>
              </w:rPr>
            </w:pPr>
          </w:p>
        </w:tc>
      </w:tr>
      <w:tr w14:paraId="364B4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76F74F9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26</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1B0B9E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不锈钢法兰波纹补偿器</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93F32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DN150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735285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088833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6131F27F">
            <w:pPr>
              <w:jc w:val="center"/>
              <w:rPr>
                <w:rFonts w:hint="eastAsia" w:ascii="仿宋" w:hAnsi="仿宋" w:eastAsia="仿宋" w:cs="仿宋"/>
                <w:i w:val="0"/>
                <w:iCs w:val="0"/>
                <w:color w:val="000000"/>
                <w:sz w:val="21"/>
                <w:szCs w:val="21"/>
                <w:u w:val="none"/>
              </w:rPr>
            </w:pPr>
          </w:p>
        </w:tc>
      </w:tr>
      <w:tr w14:paraId="1CE3D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0F5974A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27</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75290E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内衬不锈钢管卡</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7901C6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DN150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131DA5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09F513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034529E2">
            <w:pPr>
              <w:jc w:val="center"/>
              <w:rPr>
                <w:rFonts w:hint="eastAsia" w:ascii="仿宋" w:hAnsi="仿宋" w:eastAsia="仿宋" w:cs="仿宋"/>
                <w:i w:val="0"/>
                <w:iCs w:val="0"/>
                <w:color w:val="000000"/>
                <w:sz w:val="21"/>
                <w:szCs w:val="21"/>
                <w:u w:val="none"/>
              </w:rPr>
            </w:pPr>
          </w:p>
        </w:tc>
      </w:tr>
      <w:tr w14:paraId="792D7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68BD5A6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28</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11DF15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内衬不锈钢沟槽转换法兰</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7E2C4E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DN150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2124E4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30A506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5399D5A3">
            <w:pPr>
              <w:jc w:val="center"/>
              <w:rPr>
                <w:rFonts w:hint="eastAsia" w:ascii="仿宋" w:hAnsi="仿宋" w:eastAsia="仿宋" w:cs="仿宋"/>
                <w:i w:val="0"/>
                <w:iCs w:val="0"/>
                <w:color w:val="000000"/>
                <w:sz w:val="21"/>
                <w:szCs w:val="21"/>
                <w:u w:val="none"/>
              </w:rPr>
            </w:pPr>
          </w:p>
        </w:tc>
      </w:tr>
      <w:tr w14:paraId="247F9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4172E40A">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sz w:val="21"/>
                <w:szCs w:val="21"/>
                <w:u w:val="none"/>
                <w:lang w:val="en-US" w:eastAsia="zh-CN"/>
              </w:rPr>
              <w:t>29</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65C6553E">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墙卡</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FA9E91A">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DN20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4A849B47">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23E18440">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2</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15D36AC5">
            <w:pPr>
              <w:jc w:val="center"/>
              <w:rPr>
                <w:rFonts w:hint="eastAsia" w:ascii="仿宋" w:hAnsi="仿宋" w:eastAsia="仿宋" w:cs="仿宋"/>
                <w:i w:val="0"/>
                <w:iCs w:val="0"/>
                <w:color w:val="000000"/>
                <w:sz w:val="21"/>
                <w:szCs w:val="21"/>
                <w:u w:val="none"/>
              </w:rPr>
            </w:pPr>
          </w:p>
        </w:tc>
      </w:tr>
      <w:tr w14:paraId="14FF6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43485A25">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sz w:val="21"/>
                <w:szCs w:val="21"/>
                <w:u w:val="none"/>
                <w:lang w:val="en-US" w:eastAsia="zh-CN"/>
              </w:rPr>
              <w:t>30</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1535A9D0">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吊攀</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478F965">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DN20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703E3F71">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6B9B59F4">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2</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26AB5796">
            <w:pPr>
              <w:jc w:val="center"/>
              <w:rPr>
                <w:rFonts w:hint="eastAsia" w:ascii="仿宋" w:hAnsi="仿宋" w:eastAsia="仿宋" w:cs="仿宋"/>
                <w:i w:val="0"/>
                <w:iCs w:val="0"/>
                <w:color w:val="000000"/>
                <w:sz w:val="21"/>
                <w:szCs w:val="21"/>
                <w:u w:val="none"/>
              </w:rPr>
            </w:pPr>
          </w:p>
        </w:tc>
      </w:tr>
      <w:tr w14:paraId="760B2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4DDD5056">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2"/>
                <w:sz w:val="21"/>
                <w:szCs w:val="21"/>
                <w:u w:val="none"/>
                <w:lang w:val="en-US" w:eastAsia="zh-CN" w:bidi="ar-SA"/>
              </w:rPr>
              <w:t>31</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49718DC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不锈钢内螺纹</w:t>
            </w:r>
          </w:p>
          <w:p w14:paraId="194E1680">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闸阀</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39D027D5">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 xml:space="preserve">DN20  </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3C4B2EBC">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2FF5D00D">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1</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18D530AA">
            <w:pPr>
              <w:jc w:val="center"/>
              <w:rPr>
                <w:rFonts w:hint="eastAsia" w:ascii="仿宋" w:hAnsi="仿宋" w:eastAsia="仿宋" w:cs="仿宋"/>
                <w:i w:val="0"/>
                <w:iCs w:val="0"/>
                <w:color w:val="000000"/>
                <w:sz w:val="21"/>
                <w:szCs w:val="21"/>
                <w:u w:val="none"/>
              </w:rPr>
            </w:pPr>
          </w:p>
        </w:tc>
      </w:tr>
      <w:tr w14:paraId="332EC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5B21B5F6">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32</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79BF65AB">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不锈钢水龙头</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71BD275C">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DN20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72A959EF">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3D7BFAFB">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1</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00293630">
            <w:pPr>
              <w:jc w:val="center"/>
              <w:rPr>
                <w:rFonts w:hint="eastAsia" w:ascii="仿宋" w:hAnsi="仿宋" w:eastAsia="仿宋" w:cs="仿宋"/>
                <w:i w:val="0"/>
                <w:iCs w:val="0"/>
                <w:color w:val="000000"/>
                <w:sz w:val="21"/>
                <w:szCs w:val="21"/>
                <w:u w:val="none"/>
              </w:rPr>
            </w:pPr>
          </w:p>
        </w:tc>
      </w:tr>
      <w:tr w14:paraId="5F7CA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7655115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7C07264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管道支架</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17E7C99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不锈钢支架及不锈钢螺丝</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5E2F4FE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项</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1838098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5709E676">
            <w:pPr>
              <w:jc w:val="center"/>
              <w:rPr>
                <w:rFonts w:hint="eastAsia" w:ascii="仿宋" w:hAnsi="仿宋" w:eastAsia="仿宋" w:cs="仿宋"/>
                <w:i w:val="0"/>
                <w:iCs w:val="0"/>
                <w:color w:val="000000"/>
                <w:sz w:val="21"/>
                <w:szCs w:val="21"/>
                <w:u w:val="none"/>
              </w:rPr>
            </w:pPr>
          </w:p>
        </w:tc>
      </w:tr>
      <w:tr w14:paraId="7D22D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59C272E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4E58321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管道支架</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7E25B98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不锈钢防震支架</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0693871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项</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69D2285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11A27436">
            <w:pPr>
              <w:jc w:val="center"/>
              <w:rPr>
                <w:rFonts w:hint="eastAsia" w:ascii="仿宋" w:hAnsi="仿宋" w:eastAsia="仿宋" w:cs="仿宋"/>
                <w:i w:val="0"/>
                <w:iCs w:val="0"/>
                <w:color w:val="000000"/>
                <w:sz w:val="21"/>
                <w:szCs w:val="21"/>
                <w:u w:val="none"/>
              </w:rPr>
            </w:pPr>
          </w:p>
        </w:tc>
      </w:tr>
      <w:tr w14:paraId="147C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1C7FF32A">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35</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29971F2C">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遥控浮球阀</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3519D78F">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DN100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20D37749">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套</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6DCF3993">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433959E3">
            <w:pPr>
              <w:jc w:val="center"/>
              <w:rPr>
                <w:rFonts w:hint="eastAsia" w:ascii="仿宋" w:hAnsi="仿宋" w:eastAsia="仿宋" w:cs="仿宋"/>
                <w:i w:val="0"/>
                <w:iCs w:val="0"/>
                <w:color w:val="auto"/>
                <w:sz w:val="21"/>
                <w:szCs w:val="21"/>
                <w:u w:val="none"/>
              </w:rPr>
            </w:pPr>
          </w:p>
        </w:tc>
      </w:tr>
      <w:tr w14:paraId="115DD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3AB06B27">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36</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19EE476D">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不锈钢内螺纹</w:t>
            </w:r>
          </w:p>
          <w:p w14:paraId="2A625B5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球阀</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59062988">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DN15</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5055CC61">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1C888FAF">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21F12DAB">
            <w:pPr>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食品级304不锈钢材质</w:t>
            </w:r>
          </w:p>
        </w:tc>
      </w:tr>
      <w:tr w14:paraId="0EE33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5F3D8B86">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37</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60C838A1">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减压阀</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26060FF1">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DN15</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04743976">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68226BAA">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1B41EE7D">
            <w:pPr>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食品级304不锈钢材质</w:t>
            </w:r>
          </w:p>
        </w:tc>
      </w:tr>
      <w:tr w14:paraId="06C7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64B6E6F0">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38</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57D2C33D">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内螺纹Y型</w:t>
            </w:r>
          </w:p>
          <w:p w14:paraId="12A420F5">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过滤器</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134FD44">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DN15</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61577149">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2E337948">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5E136546">
            <w:pPr>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食品级304不锈钢材质</w:t>
            </w:r>
          </w:p>
        </w:tc>
      </w:tr>
      <w:tr w14:paraId="22518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4BC3EE55">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39</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33BD6C2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水龙头</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228ECFD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DN15</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7A6C84D8">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1E20270F">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5EB790AB">
            <w:pPr>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食品级304不锈钢材质</w:t>
            </w:r>
          </w:p>
        </w:tc>
      </w:tr>
      <w:tr w14:paraId="5E869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7662C79F">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13D0D85C">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橡胶板止回阀</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4905DCBD">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DN65</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1958D319">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6777D112">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49ACB909">
            <w:pPr>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食品级304不锈钢材质</w:t>
            </w:r>
          </w:p>
        </w:tc>
      </w:tr>
      <w:tr w14:paraId="18A27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7182C511">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41</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1E96E19E">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橡胶软接头</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3BE3D4D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DN65</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1CEAF439">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个</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06C78600">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04968807">
            <w:pPr>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食品级304不锈钢材质</w:t>
            </w:r>
          </w:p>
        </w:tc>
      </w:tr>
      <w:tr w14:paraId="36576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19769819">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42</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06001D64">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90度焊接弯头</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2F17651">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DN90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457B41AF">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项</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4396D8B7">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5E7AF3DE">
            <w:pPr>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食品级304不锈钢材质</w:t>
            </w:r>
          </w:p>
        </w:tc>
      </w:tr>
      <w:tr w14:paraId="199E5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040A6A1C">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43</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07E5A30F">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90度焊接弯头</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5AA2E0FD">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DN50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6C7B2BFF">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项</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1444E16C">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0AD0F4DB">
            <w:pPr>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食品级304不锈钢材质</w:t>
            </w:r>
          </w:p>
        </w:tc>
      </w:tr>
      <w:tr w14:paraId="39C05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2FE2B5B3">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44</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34425C64">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焊接同心变径</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72716BF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DN150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72F2A0BF">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项</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2D778B76">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458E2D10">
            <w:pPr>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食品级304不锈钢材质</w:t>
            </w:r>
          </w:p>
        </w:tc>
      </w:tr>
      <w:tr w14:paraId="088F8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7FF7CAC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45</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4E531100">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焊接同心变径</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7A720B28">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DN50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1A5E9011">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项</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0544488D">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4A586C9E">
            <w:pPr>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食品级304不锈钢材质</w:t>
            </w:r>
          </w:p>
        </w:tc>
      </w:tr>
      <w:tr w14:paraId="43483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0E12E7DD">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46</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79D4DA1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焊接偏心变径</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256FF8E5">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DN50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0BB70AF3">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项</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5AE9D7D5">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3A9644C5">
            <w:pPr>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食品级304不锈钢材质</w:t>
            </w:r>
          </w:p>
        </w:tc>
      </w:tr>
      <w:tr w14:paraId="7E5B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12588D4A">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47</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5DC314C0">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焊接法兰</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2E83E743">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DN80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29DCBA64">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项</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37E6189B">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0299B2C9">
            <w:pPr>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食品级304不锈钢材质</w:t>
            </w:r>
          </w:p>
        </w:tc>
      </w:tr>
      <w:tr w14:paraId="14744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48" w:type="pct"/>
            <w:tcBorders>
              <w:top w:val="single" w:color="000000" w:sz="4" w:space="0"/>
              <w:left w:val="single" w:color="000000" w:sz="4" w:space="0"/>
              <w:bottom w:val="single" w:color="000000" w:sz="4" w:space="0"/>
              <w:right w:val="single" w:color="000000" w:sz="4" w:space="0"/>
            </w:tcBorders>
            <w:noWrap w:val="0"/>
            <w:vAlign w:val="center"/>
          </w:tcPr>
          <w:p w14:paraId="466E2817">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48</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4D25BECA">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焊接法兰</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053C1108">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DN65</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4984D702">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项</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0F51847B">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w:t>
            </w:r>
          </w:p>
        </w:tc>
        <w:tc>
          <w:tcPr>
            <w:tcW w:w="2264" w:type="pct"/>
            <w:tcBorders>
              <w:top w:val="single" w:color="000000" w:sz="4" w:space="0"/>
              <w:left w:val="single" w:color="000000" w:sz="4" w:space="0"/>
              <w:bottom w:val="single" w:color="000000" w:sz="4" w:space="0"/>
              <w:right w:val="single" w:color="000000" w:sz="4" w:space="0"/>
            </w:tcBorders>
            <w:noWrap w:val="0"/>
            <w:vAlign w:val="center"/>
          </w:tcPr>
          <w:p w14:paraId="52C0AED3">
            <w:pPr>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食品级304不锈钢材质</w:t>
            </w:r>
          </w:p>
        </w:tc>
      </w:tr>
    </w:tbl>
    <w:p w14:paraId="65137379">
      <w:pPr>
        <w:keepNext w:val="0"/>
        <w:keepLines w:val="0"/>
        <w:pageBreakBefore w:val="0"/>
        <w:widowControl w:val="0"/>
        <w:kinsoku/>
        <w:wordWrap/>
        <w:overflowPunct/>
        <w:topLinePunct w:val="0"/>
        <w:autoSpaceDN/>
        <w:bidi w:val="0"/>
        <w:snapToGrid/>
        <w:spacing w:line="480" w:lineRule="exact"/>
        <w:jc w:val="lef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rPr>
        <w:t>注：</w:t>
      </w:r>
      <w:r>
        <w:rPr>
          <w:rFonts w:hint="eastAsia" w:ascii="宋体" w:hAnsi="宋体" w:eastAsia="宋体" w:cs="宋体"/>
          <w:b/>
          <w:bCs/>
          <w:color w:val="auto"/>
          <w:kern w:val="0"/>
          <w:sz w:val="28"/>
          <w:szCs w:val="28"/>
          <w:lang w:val="en-US" w:eastAsia="zh-CN"/>
        </w:rPr>
        <w:t>1</w:t>
      </w:r>
      <w:r>
        <w:rPr>
          <w:rFonts w:hint="eastAsia" w:ascii="宋体" w:hAnsi="宋体" w:eastAsia="宋体" w:cs="宋体"/>
          <w:b/>
          <w:bCs/>
          <w:color w:val="auto"/>
          <w:kern w:val="0"/>
          <w:sz w:val="28"/>
          <w:szCs w:val="28"/>
        </w:rPr>
        <w:t>.</w:t>
      </w:r>
      <w:r>
        <w:rPr>
          <w:rFonts w:hint="eastAsia" w:ascii="宋体" w:hAnsi="宋体" w:eastAsia="宋体" w:cs="宋体"/>
          <w:b/>
          <w:bCs/>
          <w:color w:val="auto"/>
          <w:kern w:val="0"/>
          <w:sz w:val="28"/>
          <w:szCs w:val="28"/>
          <w:lang w:eastAsia="zh-CN"/>
        </w:rPr>
        <w:t>本项目</w:t>
      </w:r>
      <w:r>
        <w:rPr>
          <w:rFonts w:hint="eastAsia" w:ascii="宋体" w:hAnsi="宋体" w:eastAsia="宋体" w:cs="宋体"/>
          <w:b/>
          <w:bCs/>
          <w:color w:val="auto"/>
          <w:kern w:val="0"/>
          <w:sz w:val="28"/>
          <w:szCs w:val="28"/>
          <w:highlight w:val="none"/>
          <w:lang w:eastAsia="zh-CN"/>
        </w:rPr>
        <w:t>核心产品：</w:t>
      </w:r>
      <w:r>
        <w:rPr>
          <w:rFonts w:hint="eastAsia" w:ascii="宋体" w:hAnsi="宋体" w:eastAsia="宋体" w:cs="宋体"/>
          <w:b/>
          <w:bCs/>
          <w:color w:val="auto"/>
          <w:kern w:val="0"/>
          <w:sz w:val="28"/>
          <w:szCs w:val="28"/>
          <w:highlight w:val="none"/>
          <w:lang w:val="en-US" w:eastAsia="zh-CN"/>
        </w:rPr>
        <w:t>给水增压设备。</w:t>
      </w:r>
    </w:p>
    <w:p w14:paraId="35BF5173">
      <w:pPr>
        <w:keepNext w:val="0"/>
        <w:keepLines w:val="0"/>
        <w:pageBreakBefore w:val="0"/>
        <w:widowControl w:val="0"/>
        <w:kinsoku/>
        <w:wordWrap/>
        <w:overflowPunct/>
        <w:topLinePunct w:val="0"/>
        <w:autoSpaceDN/>
        <w:bidi w:val="0"/>
        <w:snapToGrid/>
        <w:spacing w:line="480" w:lineRule="exact"/>
        <w:ind w:firstLine="562" w:firstLineChars="200"/>
        <w:jc w:val="lef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2.本次采购项目使用的参考品牌：给水增压设备（上海熊猫、浙江利欧、上海海德隆、上海凯源）；</w:t>
      </w:r>
    </w:p>
    <w:p w14:paraId="0F01FD38">
      <w:pPr>
        <w:keepNext w:val="0"/>
        <w:keepLines w:val="0"/>
        <w:pageBreakBefore w:val="0"/>
        <w:widowControl w:val="0"/>
        <w:kinsoku/>
        <w:wordWrap/>
        <w:overflowPunct/>
        <w:topLinePunct w:val="0"/>
        <w:autoSpaceDN/>
        <w:bidi w:val="0"/>
        <w:snapToGrid/>
        <w:spacing w:line="480" w:lineRule="exact"/>
        <w:ind w:firstLine="560" w:firstLineChars="200"/>
        <w:jc w:val="left"/>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lang w:val="en-US" w:eastAsia="zh-CN"/>
        </w:rPr>
        <w:t>3.</w:t>
      </w:r>
      <w:r>
        <w:rPr>
          <w:rFonts w:hint="eastAsia" w:ascii="宋体" w:hAnsi="宋体" w:eastAsia="宋体" w:cs="宋体"/>
          <w:b w:val="0"/>
          <w:bCs w:val="0"/>
          <w:color w:val="auto"/>
          <w:kern w:val="0"/>
          <w:sz w:val="28"/>
          <w:szCs w:val="28"/>
          <w:highlight w:val="none"/>
        </w:rPr>
        <w:t>本次采购为预估数量，具体数量以采购方实际采购的数量为准，报价时请充分考虑。</w:t>
      </w:r>
    </w:p>
    <w:p w14:paraId="0A8D9FE3">
      <w:pPr>
        <w:keepNext w:val="0"/>
        <w:keepLines w:val="0"/>
        <w:pageBreakBefore w:val="0"/>
        <w:widowControl w:val="0"/>
        <w:kinsoku/>
        <w:wordWrap/>
        <w:overflowPunct/>
        <w:topLinePunct w:val="0"/>
        <w:autoSpaceDN/>
        <w:bidi w:val="0"/>
        <w:snapToGrid/>
        <w:spacing w:line="480" w:lineRule="exact"/>
        <w:ind w:firstLine="560" w:firstLineChars="200"/>
        <w:jc w:val="left"/>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lang w:val="en-US" w:eastAsia="zh-CN"/>
        </w:rPr>
        <w:t>4.本项目配电设备自行接入，增压泵为背包式，</w:t>
      </w:r>
      <w:r>
        <w:rPr>
          <w:rFonts w:hint="eastAsia" w:ascii="宋体" w:hAnsi="宋体" w:eastAsia="宋体" w:cs="宋体"/>
          <w:b w:val="0"/>
          <w:bCs w:val="0"/>
          <w:color w:val="auto"/>
          <w:kern w:val="0"/>
          <w:sz w:val="28"/>
          <w:szCs w:val="28"/>
          <w:highlight w:val="none"/>
        </w:rPr>
        <w:t>所有设备参数</w:t>
      </w:r>
      <w:r>
        <w:rPr>
          <w:rFonts w:hint="eastAsia" w:ascii="宋体" w:hAnsi="宋体" w:eastAsia="宋体" w:cs="宋体"/>
          <w:b w:val="0"/>
          <w:bCs w:val="0"/>
          <w:color w:val="auto"/>
          <w:kern w:val="0"/>
          <w:sz w:val="28"/>
          <w:szCs w:val="28"/>
          <w:highlight w:val="none"/>
          <w:lang w:eastAsia="zh-CN"/>
        </w:rPr>
        <w:t>为最低要求，</w:t>
      </w:r>
      <w:r>
        <w:rPr>
          <w:rFonts w:hint="eastAsia" w:ascii="宋体" w:hAnsi="宋体" w:eastAsia="宋体" w:cs="宋体"/>
          <w:b w:val="0"/>
          <w:bCs w:val="0"/>
          <w:color w:val="auto"/>
          <w:kern w:val="0"/>
          <w:sz w:val="28"/>
          <w:szCs w:val="28"/>
          <w:highlight w:val="none"/>
        </w:rPr>
        <w:t>不允许负偏离，否则视为无效报价。</w:t>
      </w:r>
    </w:p>
    <w:p w14:paraId="7417DF3A">
      <w:pPr>
        <w:keepNext w:val="0"/>
        <w:keepLines w:val="0"/>
        <w:pageBreakBefore w:val="0"/>
        <w:widowControl w:val="0"/>
        <w:numPr>
          <w:ilvl w:val="0"/>
          <w:numId w:val="0"/>
        </w:numPr>
        <w:kinsoku/>
        <w:wordWrap/>
        <w:overflowPunct/>
        <w:topLinePunct w:val="0"/>
        <w:autoSpaceDN/>
        <w:bidi w:val="0"/>
        <w:snapToGrid/>
        <w:spacing w:line="480" w:lineRule="exact"/>
        <w:ind w:firstLine="560" w:firstLineChars="200"/>
        <w:jc w:val="left"/>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rPr>
        <w:t>5.投标报价为固定总价，各供应商</w:t>
      </w:r>
      <w:r>
        <w:rPr>
          <w:rFonts w:hint="eastAsia" w:ascii="宋体" w:hAnsi="宋体" w:eastAsia="宋体" w:cs="宋体"/>
          <w:b w:val="0"/>
          <w:bCs w:val="0"/>
          <w:color w:val="auto"/>
          <w:kern w:val="0"/>
          <w:sz w:val="28"/>
          <w:szCs w:val="28"/>
          <w:highlight w:val="none"/>
          <w:lang w:val="en-US" w:eastAsia="zh-CN" w:bidi="ar-SA"/>
        </w:rPr>
        <w:t>应充分考虑各类市场风险和政策性调整确定风险系数计入报价，合同期内不作调整。</w:t>
      </w:r>
    </w:p>
    <w:p w14:paraId="31F90B95">
      <w:pPr>
        <w:numPr>
          <w:ilvl w:val="0"/>
          <w:numId w:val="0"/>
        </w:numPr>
        <w:snapToGrid w:val="0"/>
        <w:spacing w:line="480" w:lineRule="exact"/>
        <w:ind w:firstLine="560" w:firstLineChars="200"/>
        <w:contextualSpacing/>
        <w:rPr>
          <w:rFonts w:hint="eastAsia" w:ascii="宋体" w:hAnsi="宋体" w:eastAsia="宋体" w:cs="宋体"/>
          <w:b w:val="0"/>
          <w:bCs w:val="0"/>
          <w:color w:val="auto"/>
          <w:spacing w:val="-6"/>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6.清单未详之处按照启东市供水企业居民住宅二次供水工程技术规程相关要求（含附件）执行，</w:t>
      </w:r>
      <w:r>
        <w:rPr>
          <w:rFonts w:hint="eastAsia" w:ascii="宋体" w:hAnsi="宋体" w:eastAsia="宋体" w:cs="宋体"/>
          <w:b w:val="0"/>
          <w:bCs w:val="0"/>
          <w:color w:val="auto"/>
          <w:spacing w:val="-6"/>
          <w:kern w:val="0"/>
          <w:sz w:val="28"/>
          <w:szCs w:val="28"/>
          <w:highlight w:val="none"/>
          <w:lang w:val="en-US" w:eastAsia="zh-CN" w:bidi="ar-SA"/>
        </w:rPr>
        <w:t>清单有遗漏的，报价综合考虑在其他报价中。</w:t>
      </w:r>
    </w:p>
    <w:p w14:paraId="3BF85A5D">
      <w:pPr>
        <w:numPr>
          <w:ilvl w:val="0"/>
          <w:numId w:val="0"/>
        </w:numPr>
        <w:snapToGrid w:val="0"/>
        <w:spacing w:line="480" w:lineRule="exact"/>
        <w:ind w:firstLine="538" w:firstLineChars="200"/>
        <w:contextualSpacing/>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pacing w:val="-6"/>
          <w:kern w:val="0"/>
          <w:sz w:val="28"/>
          <w:szCs w:val="28"/>
          <w:highlight w:val="none"/>
          <w:lang w:val="en-US" w:eastAsia="zh-CN" w:bidi="ar-SA"/>
        </w:rPr>
        <w:t>7.</w:t>
      </w:r>
      <w:r>
        <w:rPr>
          <w:rFonts w:hint="eastAsia" w:ascii="宋体" w:hAnsi="宋体" w:cs="宋体"/>
          <w:b/>
          <w:bCs/>
          <w:color w:val="auto"/>
          <w:spacing w:val="-6"/>
          <w:kern w:val="0"/>
          <w:sz w:val="28"/>
          <w:szCs w:val="28"/>
          <w:highlight w:val="none"/>
          <w:lang w:val="en-US" w:eastAsia="zh-CN" w:bidi="ar-SA"/>
        </w:rPr>
        <w:t>上诉清单中</w:t>
      </w:r>
      <w:r>
        <w:rPr>
          <w:rFonts w:hint="eastAsia" w:ascii="宋体" w:hAnsi="宋体" w:eastAsia="宋体" w:cs="宋体"/>
          <w:b/>
          <w:bCs/>
          <w:color w:val="auto"/>
          <w:spacing w:val="-6"/>
          <w:kern w:val="0"/>
          <w:sz w:val="28"/>
          <w:szCs w:val="28"/>
          <w:highlight w:val="none"/>
          <w:lang w:val="en-US" w:eastAsia="zh-CN" w:bidi="ar-SA"/>
        </w:rPr>
        <w:t>给水增压设备</w:t>
      </w:r>
      <w:r>
        <w:rPr>
          <w:rFonts w:hint="eastAsia" w:ascii="宋体" w:hAnsi="宋体" w:cs="宋体"/>
          <w:b/>
          <w:bCs/>
          <w:color w:val="auto"/>
          <w:spacing w:val="-6"/>
          <w:kern w:val="0"/>
          <w:sz w:val="28"/>
          <w:szCs w:val="28"/>
          <w:highlight w:val="none"/>
          <w:lang w:val="en-US" w:eastAsia="zh-CN" w:bidi="ar-SA"/>
        </w:rPr>
        <w:t>的</w:t>
      </w:r>
      <w:r>
        <w:rPr>
          <w:rFonts w:hint="eastAsia" w:ascii="宋体" w:hAnsi="宋体" w:eastAsia="宋体" w:cs="宋体"/>
          <w:b/>
          <w:bCs/>
          <w:color w:val="auto"/>
          <w:spacing w:val="-6"/>
          <w:kern w:val="0"/>
          <w:sz w:val="28"/>
          <w:szCs w:val="28"/>
          <w:highlight w:val="none"/>
          <w:lang w:val="en-US" w:eastAsia="zh-CN" w:bidi="ar-SA"/>
        </w:rPr>
        <w:t>阀门采用投标商自有品牌的</w:t>
      </w:r>
      <w:r>
        <w:rPr>
          <w:rFonts w:hint="eastAsia" w:ascii="宋体" w:hAnsi="宋体" w:cs="宋体"/>
          <w:b/>
          <w:bCs/>
          <w:color w:val="auto"/>
          <w:spacing w:val="-6"/>
          <w:kern w:val="0"/>
          <w:sz w:val="28"/>
          <w:szCs w:val="28"/>
          <w:highlight w:val="none"/>
          <w:lang w:val="en-US" w:eastAsia="zh-CN" w:bidi="ar-SA"/>
        </w:rPr>
        <w:t>，</w:t>
      </w:r>
      <w:r>
        <w:rPr>
          <w:rFonts w:hint="eastAsia" w:ascii="宋体" w:hAnsi="宋体" w:eastAsia="宋体" w:cs="宋体"/>
          <w:b/>
          <w:bCs/>
          <w:color w:val="auto"/>
          <w:spacing w:val="-6"/>
          <w:kern w:val="0"/>
          <w:sz w:val="28"/>
          <w:szCs w:val="28"/>
          <w:highlight w:val="none"/>
          <w:lang w:val="en-US" w:eastAsia="zh-CN" w:bidi="ar-SA"/>
        </w:rPr>
        <w:t>投标时</w:t>
      </w:r>
      <w:r>
        <w:rPr>
          <w:rFonts w:hint="eastAsia" w:ascii="宋体" w:hAnsi="宋体" w:cs="宋体"/>
          <w:b/>
          <w:bCs/>
          <w:color w:val="auto"/>
          <w:spacing w:val="-6"/>
          <w:kern w:val="0"/>
          <w:sz w:val="28"/>
          <w:szCs w:val="28"/>
          <w:highlight w:val="none"/>
          <w:lang w:val="en-US" w:eastAsia="zh-CN" w:bidi="ar-SA"/>
        </w:rPr>
        <w:t>须</w:t>
      </w:r>
      <w:r>
        <w:rPr>
          <w:rFonts w:hint="eastAsia" w:ascii="宋体" w:hAnsi="宋体" w:eastAsia="宋体" w:cs="宋体"/>
          <w:b/>
          <w:bCs/>
          <w:color w:val="auto"/>
          <w:spacing w:val="-6"/>
          <w:kern w:val="0"/>
          <w:sz w:val="28"/>
          <w:szCs w:val="28"/>
          <w:highlight w:val="none"/>
          <w:lang w:val="en-US" w:eastAsia="zh-CN" w:bidi="ar-SA"/>
        </w:rPr>
        <w:t>提供检测报告</w:t>
      </w:r>
      <w:r>
        <w:rPr>
          <w:rFonts w:hint="eastAsia" w:ascii="宋体" w:hAnsi="宋体" w:cs="宋体"/>
          <w:b/>
          <w:bCs/>
          <w:color w:val="auto"/>
          <w:spacing w:val="-6"/>
          <w:kern w:val="0"/>
          <w:sz w:val="28"/>
          <w:szCs w:val="28"/>
          <w:highlight w:val="none"/>
          <w:lang w:val="en-US" w:eastAsia="zh-CN" w:bidi="ar-SA"/>
        </w:rPr>
        <w:t>复印件</w:t>
      </w:r>
      <w:r>
        <w:rPr>
          <w:rFonts w:hint="eastAsia" w:ascii="宋体" w:hAnsi="宋体" w:eastAsia="宋体" w:cs="宋体"/>
          <w:b/>
          <w:bCs/>
          <w:color w:val="auto"/>
          <w:spacing w:val="-6"/>
          <w:kern w:val="0"/>
          <w:sz w:val="28"/>
          <w:szCs w:val="28"/>
          <w:highlight w:val="none"/>
          <w:lang w:val="en-US" w:eastAsia="zh-CN" w:bidi="ar-SA"/>
        </w:rPr>
        <w:t>并加盖投标单位公章</w:t>
      </w:r>
      <w:r>
        <w:rPr>
          <w:rFonts w:hint="eastAsia" w:ascii="宋体" w:hAnsi="宋体" w:cs="宋体"/>
          <w:b/>
          <w:bCs/>
          <w:color w:val="auto"/>
          <w:spacing w:val="-6"/>
          <w:kern w:val="0"/>
          <w:sz w:val="28"/>
          <w:szCs w:val="28"/>
          <w:highlight w:val="none"/>
          <w:lang w:val="en-US" w:eastAsia="zh-CN" w:bidi="ar-SA"/>
        </w:rPr>
        <w:t>，否则视为无效文件</w:t>
      </w:r>
      <w:r>
        <w:rPr>
          <w:rFonts w:hint="eastAsia" w:ascii="宋体" w:hAnsi="宋体" w:eastAsia="宋体" w:cs="宋体"/>
          <w:b/>
          <w:bCs/>
          <w:color w:val="auto"/>
          <w:spacing w:val="-6"/>
          <w:kern w:val="0"/>
          <w:sz w:val="28"/>
          <w:szCs w:val="28"/>
          <w:highlight w:val="none"/>
          <w:lang w:val="en-US" w:eastAsia="zh-CN" w:bidi="ar-SA"/>
        </w:rPr>
        <w:t>。</w:t>
      </w:r>
      <w:r>
        <w:rPr>
          <w:rFonts w:hint="eastAsia" w:ascii="宋体" w:hAnsi="宋体" w:eastAsia="宋体" w:cs="宋体"/>
          <w:b w:val="0"/>
          <w:bCs w:val="0"/>
          <w:i w:val="0"/>
          <w:iCs w:val="0"/>
          <w:color w:val="auto"/>
          <w:kern w:val="0"/>
          <w:sz w:val="28"/>
          <w:szCs w:val="28"/>
          <w:highlight w:val="none"/>
          <w:u w:val="none"/>
          <w:lang w:val="en-US" w:eastAsia="zh-CN" w:bidi="ar"/>
        </w:rPr>
        <w:br w:type="textWrapping"/>
      </w:r>
      <w:r>
        <w:rPr>
          <w:rFonts w:hint="eastAsia" w:ascii="宋体" w:hAnsi="宋体" w:eastAsia="宋体" w:cs="宋体"/>
          <w:b w:val="0"/>
          <w:bCs w:val="0"/>
          <w:i w:val="0"/>
          <w:iCs w:val="0"/>
          <w:color w:val="auto"/>
          <w:kern w:val="0"/>
          <w:sz w:val="28"/>
          <w:szCs w:val="28"/>
          <w:highlight w:val="none"/>
          <w:u w:val="none"/>
          <w:lang w:val="en-US" w:eastAsia="zh-CN" w:bidi="ar"/>
        </w:rPr>
        <w:t xml:space="preserve">    </w:t>
      </w:r>
      <w:r>
        <w:rPr>
          <w:rFonts w:hint="eastAsia" w:ascii="宋体" w:hAnsi="宋体" w:eastAsia="宋体" w:cs="宋体"/>
          <w:b/>
          <w:bCs/>
          <w:color w:val="auto"/>
          <w:spacing w:val="-5"/>
          <w:sz w:val="28"/>
          <w:szCs w:val="28"/>
          <w:highlight w:val="none"/>
          <w:lang w:val="en-US" w:eastAsia="zh-CN"/>
        </w:rPr>
        <w:t>二、</w:t>
      </w:r>
      <w:r>
        <w:rPr>
          <w:rFonts w:hint="eastAsia" w:ascii="宋体" w:hAnsi="宋体" w:eastAsia="宋体" w:cs="宋体"/>
          <w:b/>
          <w:bCs/>
          <w:color w:val="auto"/>
          <w:kern w:val="2"/>
          <w:sz w:val="28"/>
          <w:szCs w:val="28"/>
          <w:highlight w:val="none"/>
          <w:lang w:val="en-US" w:eastAsia="zh-CN" w:bidi="ar-SA"/>
        </w:rPr>
        <w:t>交货期：</w:t>
      </w:r>
      <w:r>
        <w:rPr>
          <w:rFonts w:hint="eastAsia" w:ascii="宋体" w:hAnsi="宋体" w:eastAsia="宋体" w:cs="宋体"/>
          <w:color w:val="auto"/>
          <w:sz w:val="28"/>
          <w:szCs w:val="28"/>
          <w:highlight w:val="none"/>
          <w:lang w:val="en-US" w:eastAsia="zh-CN"/>
        </w:rPr>
        <w:t>中标后，接采购人开工通知后40天完成供货及安装调试。如因中标人原因延期完工的，每逾期1天按合同总价 0.5%支付违约金(上限15%)。逾期超两周未交货的，采购人可书面通知(通知送达即生效)中标人全部或部分地终止合同并索赔，中标人须在14天内对索赔要求给予明确回复。</w:t>
      </w:r>
    </w:p>
    <w:p w14:paraId="23A4D386">
      <w:pPr>
        <w:numPr>
          <w:ilvl w:val="0"/>
          <w:numId w:val="0"/>
        </w:numPr>
        <w:snapToGrid w:val="0"/>
        <w:spacing w:line="480" w:lineRule="exact"/>
        <w:ind w:firstLine="562" w:firstLineChars="200"/>
        <w:contextualSpacing/>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三、交货地点及安装方式：</w:t>
      </w:r>
    </w:p>
    <w:p w14:paraId="77C29FB3">
      <w:pPr>
        <w:numPr>
          <w:ilvl w:val="0"/>
          <w:numId w:val="0"/>
        </w:numPr>
        <w:snapToGrid w:val="0"/>
        <w:spacing w:line="480" w:lineRule="exact"/>
        <w:ind w:firstLine="560" w:firstLineChars="200"/>
        <w:contextualSpacing/>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1、交货地点：运输并卸货至采购人指定地点，并指导安装。</w:t>
      </w:r>
    </w:p>
    <w:p w14:paraId="3F619FC2">
      <w:pPr>
        <w:numPr>
          <w:ilvl w:val="0"/>
          <w:numId w:val="0"/>
        </w:numPr>
        <w:snapToGrid w:val="0"/>
        <w:spacing w:line="480" w:lineRule="exact"/>
        <w:ind w:firstLine="560" w:firstLineChars="200"/>
        <w:contextualSpacing/>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2、安装方式：泵房市政管网取水口-低中高三区泵房出水口（含调峰水箱的进水和出水）。</w:t>
      </w:r>
    </w:p>
    <w:p w14:paraId="007FE477">
      <w:pPr>
        <w:numPr>
          <w:ilvl w:val="0"/>
          <w:numId w:val="0"/>
        </w:numPr>
        <w:snapToGrid w:val="0"/>
        <w:spacing w:line="480" w:lineRule="exact"/>
        <w:ind w:firstLine="562" w:firstLineChars="200"/>
        <w:contextualSpacing/>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kern w:val="2"/>
          <w:sz w:val="28"/>
          <w:szCs w:val="28"/>
          <w:highlight w:val="none"/>
          <w:lang w:val="en-US" w:eastAsia="zh-CN" w:bidi="ar-SA"/>
        </w:rPr>
        <w:t>四、质量要求：</w:t>
      </w:r>
      <w:r>
        <w:rPr>
          <w:rFonts w:hint="eastAsia" w:ascii="宋体" w:hAnsi="宋体" w:eastAsia="宋体" w:cs="宋体"/>
          <w:color w:val="auto"/>
          <w:sz w:val="28"/>
          <w:szCs w:val="28"/>
          <w:highlight w:val="none"/>
          <w:lang w:val="en-US" w:eastAsia="zh-CN"/>
        </w:rPr>
        <w:t>投标人须提供符合采购需求、符合国家质量检测标准的原装合格产品，不低于《启东市供水企业居民住宅二次供水工程技术规程相关要求》。</w:t>
      </w:r>
    </w:p>
    <w:p w14:paraId="631B958E">
      <w:pPr>
        <w:numPr>
          <w:ilvl w:val="0"/>
          <w:numId w:val="0"/>
        </w:numPr>
        <w:snapToGrid w:val="0"/>
        <w:spacing w:line="480" w:lineRule="exact"/>
        <w:ind w:firstLine="562" w:firstLineChars="200"/>
        <w:contextualSpacing/>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kern w:val="2"/>
          <w:sz w:val="28"/>
          <w:szCs w:val="28"/>
          <w:highlight w:val="none"/>
          <w:lang w:val="en-US" w:eastAsia="zh-CN" w:bidi="ar-SA"/>
        </w:rPr>
        <w:t>五、质保要求：</w:t>
      </w:r>
      <w:r>
        <w:rPr>
          <w:rFonts w:hint="eastAsia" w:ascii="宋体" w:hAnsi="宋体" w:eastAsia="宋体" w:cs="宋体"/>
          <w:color w:val="auto"/>
          <w:sz w:val="28"/>
          <w:szCs w:val="28"/>
          <w:highlight w:val="none"/>
          <w:lang w:val="en-US" w:eastAsia="zh-CN"/>
        </w:rPr>
        <w:t>项目要求整体质保不得少于六年（从验收合格之日算起），根据投标人实际承诺的质保年限提供上门服务及全免费质保等售后服务。</w:t>
      </w:r>
    </w:p>
    <w:p w14:paraId="47BBF4D1">
      <w:pPr>
        <w:numPr>
          <w:ilvl w:val="0"/>
          <w:numId w:val="0"/>
        </w:numPr>
        <w:snapToGrid w:val="0"/>
        <w:spacing w:line="480" w:lineRule="exact"/>
        <w:ind w:firstLine="562" w:firstLineChars="200"/>
        <w:contextualSpacing/>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kern w:val="2"/>
          <w:sz w:val="28"/>
          <w:szCs w:val="28"/>
          <w:highlight w:val="none"/>
          <w:lang w:val="en-US" w:eastAsia="zh-CN" w:bidi="ar-SA"/>
        </w:rPr>
        <w:t>六、售后服务要求：</w:t>
      </w:r>
      <w:r>
        <w:rPr>
          <w:rFonts w:hint="eastAsia" w:ascii="宋体" w:hAnsi="宋体" w:eastAsia="宋体" w:cs="宋体"/>
          <w:color w:val="auto"/>
          <w:sz w:val="28"/>
          <w:szCs w:val="28"/>
          <w:highlight w:val="none"/>
          <w:lang w:val="en-US" w:eastAsia="zh-CN"/>
        </w:rPr>
        <w:t>在免费保修期内，中标人在接到用户单位电话维修通知后，中标人在4小时内予以更换或维修完毕，确保不影响用户单位实际使用。未及时修复的，采购人有权另行安排其他队伍进行维修，所产生的维修费用从合同价款中直接扣除。中标人超时或未在规定的时间内及时维修，每次罚2000元扣款。在质保期内，同一商品、同一质量问题连续两次维修仍无法正常使用，中标人无条件给予全套更新或退货。合同履行过程中包括质保期内，如供货方违约的，采购方有权在货款中直接扣除相应的款项。如货款不够支持本次损失费用，采购方有权向供货方索赔，且视质量、安装、调试、抢修、维护保养服务等过程中引起出现问题，造成的严重负面影响的将列入黑名单，不得再参与启东水司的采购项目。</w:t>
      </w:r>
    </w:p>
    <w:p w14:paraId="720106AA">
      <w:pPr>
        <w:numPr>
          <w:ilvl w:val="0"/>
          <w:numId w:val="0"/>
        </w:numPr>
        <w:snapToGrid w:val="0"/>
        <w:spacing w:line="480" w:lineRule="exact"/>
        <w:ind w:firstLine="562" w:firstLineChars="200"/>
        <w:contextualSpacing/>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kern w:val="2"/>
          <w:sz w:val="28"/>
          <w:szCs w:val="28"/>
          <w:highlight w:val="none"/>
          <w:lang w:val="en-US" w:eastAsia="zh-CN" w:bidi="ar-SA"/>
        </w:rPr>
        <w:t>七、验收要求：</w:t>
      </w:r>
      <w:r>
        <w:rPr>
          <w:rFonts w:hint="eastAsia" w:ascii="宋体" w:hAnsi="宋体" w:eastAsia="宋体" w:cs="宋体"/>
          <w:color w:val="auto"/>
          <w:sz w:val="28"/>
          <w:szCs w:val="28"/>
          <w:highlight w:val="none"/>
          <w:lang w:val="en-US" w:eastAsia="zh-CN"/>
        </w:rPr>
        <w:t>采购人根据《启东市供水企业居民住宅二次供水工程技术规程相关要求（含附件）》验收，投标人必须满足该技术规定中的所有要求，若认为工程量清单不明确、有缺项的部分，则将缺项遗漏部分的价格列入相应采购清单子目中，请综合考虑投标报价，工程结算时不作调整。</w:t>
      </w:r>
    </w:p>
    <w:p w14:paraId="2CA707CA">
      <w:pPr>
        <w:snapToGrid w:val="0"/>
        <w:spacing w:line="480" w:lineRule="exact"/>
        <w:ind w:firstLine="562" w:firstLineChars="200"/>
        <w:contextualSpacing/>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rPr>
        <w:t>报价要求：</w:t>
      </w:r>
    </w:p>
    <w:p w14:paraId="15F1ABB2">
      <w:pPr>
        <w:numPr>
          <w:ilvl w:val="0"/>
          <w:numId w:val="0"/>
        </w:numPr>
        <w:snapToGrid w:val="0"/>
        <w:spacing w:line="480" w:lineRule="exact"/>
        <w:ind w:firstLine="560" w:firstLineChars="200"/>
        <w:contextualSpacing/>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rPr>
        <w:t>投标报价采用固定总价报价</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报价</w:t>
      </w:r>
      <w:r>
        <w:rPr>
          <w:rFonts w:hint="eastAsia" w:ascii="宋体" w:hAnsi="宋体" w:eastAsia="宋体" w:cs="宋体"/>
          <w:color w:val="auto"/>
          <w:sz w:val="28"/>
          <w:szCs w:val="28"/>
          <w:highlight w:val="none"/>
        </w:rPr>
        <w:t>包含但不限于采购等所发生的各种费用，即材料费、</w:t>
      </w:r>
      <w:r>
        <w:rPr>
          <w:rFonts w:hint="eastAsia" w:ascii="宋体" w:hAnsi="宋体" w:eastAsia="宋体" w:cs="宋体"/>
          <w:color w:val="auto"/>
          <w:sz w:val="28"/>
          <w:szCs w:val="28"/>
          <w:highlight w:val="none"/>
          <w:lang w:val="en-US" w:eastAsia="zh-CN"/>
        </w:rPr>
        <w:t>设备安装费、设备调试费、</w:t>
      </w:r>
      <w:r>
        <w:rPr>
          <w:rFonts w:hint="eastAsia" w:ascii="宋体" w:hAnsi="宋体" w:eastAsia="宋体" w:cs="宋体"/>
          <w:color w:val="auto"/>
          <w:sz w:val="28"/>
          <w:szCs w:val="28"/>
          <w:highlight w:val="none"/>
        </w:rPr>
        <w:t>材料运输费、运输保险费、装卸费、售后服务费、不可预见费、风险费、税金（增值税专用发票）、质保费等其它一切可能发生的相关费用。运输及装卸过程中的材料损耗由供应商承担</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请各投标人在报价时充分考虑各种因素（如税金、运输等各种费用）</w:t>
      </w:r>
      <w:r>
        <w:rPr>
          <w:rFonts w:hint="eastAsia" w:ascii="宋体" w:hAnsi="宋体" w:eastAsia="宋体" w:cs="宋体"/>
          <w:color w:val="auto"/>
          <w:sz w:val="28"/>
          <w:szCs w:val="28"/>
          <w:highlight w:val="none"/>
          <w:lang w:val="en-US" w:eastAsia="zh-CN"/>
        </w:rPr>
        <w:t>，合同期内中标单价不作调整</w:t>
      </w:r>
      <w:r>
        <w:rPr>
          <w:rFonts w:hint="eastAsia" w:ascii="宋体" w:hAnsi="宋体" w:eastAsia="宋体" w:cs="宋体"/>
          <w:color w:val="auto"/>
          <w:sz w:val="28"/>
          <w:szCs w:val="28"/>
          <w:highlight w:val="none"/>
        </w:rPr>
        <w:t>。</w:t>
      </w:r>
    </w:p>
    <w:p w14:paraId="345555A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lang w:val="en-US" w:eastAsia="zh-CN"/>
        </w:rPr>
        <w:t>九</w:t>
      </w:r>
      <w:r>
        <w:rPr>
          <w:rFonts w:hint="eastAsia" w:ascii="宋体" w:hAnsi="宋体" w:eastAsia="宋体" w:cs="宋体"/>
          <w:b/>
          <w:bCs/>
          <w:color w:val="auto"/>
          <w:spacing w:val="-5"/>
          <w:sz w:val="28"/>
          <w:szCs w:val="28"/>
          <w:highlight w:val="none"/>
        </w:rPr>
        <w:t>、采购标的的其他技术、服务等要求</w:t>
      </w:r>
    </w:p>
    <w:p w14:paraId="521702F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次采购需切实履行绿色采购，参照《江苏省财政厅关于加强政府绿色采购有关事项的通知》（苏财购〔2023〕65号），严格落实节能环保产品采购政策，严格执行绿色采购需求标准，推广使用低挥发性有机化合物产品，确保绿色采购落实到位。</w:t>
      </w:r>
    </w:p>
    <w:p w14:paraId="469DE5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品目清单见《关于印发环境标志产品政府采购品目清单的通知》（财库〔2019〕18号）、《关于印发节能产品政府采购品目清单的通知》（财库〔2019〕19号）。</w:t>
      </w:r>
    </w:p>
    <w:p w14:paraId="25ED068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需求标准见《商品包装政府采购需求标准（试行）》《快递包装政府采购需求标准（试行）》（财办库〔2020〕123号）、《绿色数据中心政府采购需求标准（试行）》（财库〔2023〕7号）。</w:t>
      </w:r>
    </w:p>
    <w:p w14:paraId="7CFEF41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4" w:firstLineChars="200"/>
        <w:textAlignment w:val="baseline"/>
        <w:outlineLvl w:val="3"/>
        <w:rPr>
          <w:rFonts w:hint="eastAsia" w:ascii="宋体" w:hAnsi="宋体" w:eastAsia="宋体" w:cs="宋体"/>
          <w:b/>
          <w:bCs/>
          <w:color w:val="auto"/>
          <w:spacing w:val="-12"/>
          <w:sz w:val="28"/>
          <w:szCs w:val="28"/>
          <w:highlight w:val="none"/>
        </w:rPr>
      </w:pPr>
      <w:r>
        <w:rPr>
          <w:rFonts w:hint="eastAsia" w:ascii="宋体" w:hAnsi="宋体" w:eastAsia="宋体" w:cs="宋体"/>
          <w:b/>
          <w:bCs/>
          <w:color w:val="auto"/>
          <w:spacing w:val="-12"/>
          <w:sz w:val="28"/>
          <w:szCs w:val="28"/>
          <w:highlight w:val="none"/>
          <w:lang w:val="en-US" w:eastAsia="zh-CN"/>
        </w:rPr>
        <w:t>十</w:t>
      </w:r>
      <w:r>
        <w:rPr>
          <w:rFonts w:hint="eastAsia" w:ascii="宋体" w:hAnsi="宋体" w:eastAsia="宋体" w:cs="宋体"/>
          <w:b/>
          <w:bCs/>
          <w:color w:val="auto"/>
          <w:spacing w:val="-12"/>
          <w:sz w:val="28"/>
          <w:szCs w:val="28"/>
          <w:highlight w:val="none"/>
        </w:rPr>
        <w:t>、付款方式：</w:t>
      </w:r>
    </w:p>
    <w:p w14:paraId="76703129">
      <w:pPr>
        <w:numPr>
          <w:ilvl w:val="0"/>
          <w:numId w:val="0"/>
        </w:numPr>
        <w:snapToGrid w:val="0"/>
        <w:spacing w:line="480" w:lineRule="exact"/>
        <w:ind w:firstLine="560" w:firstLineChars="200"/>
        <w:contextualSpacing/>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凭有效的验收证明文件作为付款依据。全部货物运送到指定地点，且安装、调试到位，并经采购单位验收合格后一个月内付至合同价款的80%， 审计结束后付至审计总价的90%，余款于验收合格之日起满六年且无任何质量问题后一月内一次性付清。   </w:t>
      </w:r>
    </w:p>
    <w:p w14:paraId="79DF5304">
      <w:pPr>
        <w:numPr>
          <w:ilvl w:val="0"/>
          <w:numId w:val="0"/>
        </w:numPr>
        <w:snapToGrid w:val="0"/>
        <w:spacing w:line="480" w:lineRule="exact"/>
        <w:ind w:firstLine="560" w:firstLineChars="200"/>
        <w:contextualSpacing/>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每次付款前中标人需向采购人提供13%税率的增值税专用发票。</w:t>
      </w:r>
    </w:p>
    <w:p w14:paraId="7834AE4F">
      <w:pPr>
        <w:numPr>
          <w:ilvl w:val="0"/>
          <w:numId w:val="0"/>
        </w:numPr>
        <w:snapToGrid w:val="0"/>
        <w:spacing w:line="480" w:lineRule="exact"/>
        <w:ind w:firstLine="560" w:firstLineChars="200"/>
        <w:contextualSpacing/>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履约保证金在货物安装调试完毕并经验收合格后一个月内退还。</w:t>
      </w:r>
    </w:p>
    <w:p w14:paraId="225986F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8" w:firstLineChars="200"/>
        <w:textAlignment w:val="baseline"/>
        <w:outlineLvl w:val="3"/>
        <w:rPr>
          <w:rFonts w:hint="eastAsia" w:ascii="宋体" w:hAnsi="宋体" w:eastAsia="宋体" w:cs="宋体"/>
          <w:color w:val="auto"/>
          <w:sz w:val="28"/>
          <w:szCs w:val="28"/>
          <w:highlight w:val="none"/>
        </w:rPr>
      </w:pPr>
      <w:r>
        <w:rPr>
          <w:rFonts w:hint="eastAsia" w:ascii="宋体" w:hAnsi="宋体" w:eastAsia="宋体" w:cs="宋体"/>
          <w:b/>
          <w:bCs/>
          <w:color w:val="auto"/>
          <w:spacing w:val="-11"/>
          <w:sz w:val="28"/>
          <w:szCs w:val="28"/>
          <w:highlight w:val="none"/>
          <w:lang w:val="en-US" w:eastAsia="zh-CN"/>
        </w:rPr>
        <w:t>十一</w:t>
      </w:r>
      <w:r>
        <w:rPr>
          <w:rFonts w:hint="eastAsia" w:ascii="宋体" w:hAnsi="宋体" w:eastAsia="宋体" w:cs="宋体"/>
          <w:b/>
          <w:bCs/>
          <w:color w:val="auto"/>
          <w:spacing w:val="-11"/>
          <w:sz w:val="28"/>
          <w:szCs w:val="28"/>
          <w:highlight w:val="none"/>
        </w:rPr>
        <w:t>、履约保证金：</w:t>
      </w:r>
    </w:p>
    <w:p w14:paraId="636EFF82">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contextualSpacing/>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本项目中标后的履约保证金为项目成交价的10%，中标供应商的履约保证金须在成交通知书发出之日起至合同签订前汇入采购单位账户（应当以数字人民币、银行转账、网银、电汇、支票、本票、汇票、银行保函、保险保函</w:t>
      </w:r>
      <w:r>
        <w:rPr>
          <w:rFonts w:hint="eastAsia" w:ascii="宋体" w:hAnsi="宋体" w:eastAsia="宋体" w:cs="宋体"/>
          <w:color w:val="auto"/>
          <w:sz w:val="28"/>
          <w:szCs w:val="28"/>
          <w:lang w:val="en-US" w:eastAsia="zh-CN"/>
        </w:rPr>
        <w:t>等形式提交），中标供应商应当在中标通知书发出之日起30日内，凭中标通知书和履约保证金缴纳凭证，和招标人订立书面合同。中标供应商在中标通知书发出之日起30日内不与招标人签订合同的，视为自动放弃中标资格。</w:t>
      </w:r>
    </w:p>
    <w:p w14:paraId="07125A91">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contextualSpacing/>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中标供应商全部履约合同义务，经采购单位验收合格无质量、进度等问题的，采购人在验收合格后</w:t>
      </w:r>
      <w:r>
        <w:rPr>
          <w:rFonts w:hint="eastAsia" w:ascii="宋体" w:hAnsi="宋体" w:eastAsia="宋体" w:cs="宋体"/>
          <w:color w:val="auto"/>
          <w:sz w:val="28"/>
          <w:szCs w:val="28"/>
          <w:lang w:val="en-US" w:eastAsia="zh-CN"/>
        </w:rPr>
        <w:t>一个月内</w:t>
      </w:r>
      <w:r>
        <w:rPr>
          <w:rFonts w:hint="eastAsia" w:ascii="宋体" w:hAnsi="宋体" w:eastAsia="宋体" w:cs="宋体"/>
          <w:color w:val="auto"/>
          <w:sz w:val="28"/>
          <w:szCs w:val="28"/>
        </w:rPr>
        <w:t>一次性退还履约保证金。</w:t>
      </w:r>
    </w:p>
    <w:p w14:paraId="424CDC94">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contextualSpacing/>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发生以下情况的，履约保证金不予退还或部分退还：</w:t>
      </w:r>
    </w:p>
    <w:p w14:paraId="29AB192E">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contextualSpacing/>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a.签订合同后，中标供应商不履行合同义务的，采购单位有权全额扣除履约保证金，全额不予退还，同时采购单位亦有权终止合同，中标供应商还须承担相应的法律赔偿责任。</w:t>
      </w:r>
    </w:p>
    <w:p w14:paraId="4504F577">
      <w:pPr>
        <w:keepNext w:val="0"/>
        <w:keepLines w:val="0"/>
        <w:pageBreakBefore w:val="0"/>
        <w:widowControl w:val="0"/>
        <w:kinsoku/>
        <w:wordWrap/>
        <w:overflowPunct/>
        <w:topLinePunct w:val="0"/>
        <w:autoSpaceDN/>
        <w:bidi w:val="0"/>
        <w:snapToGrid/>
        <w:spacing w:line="480" w:lineRule="exact"/>
        <w:ind w:firstLine="640"/>
        <w:rPr>
          <w:rFonts w:hint="eastAsia" w:ascii="宋体" w:hAnsi="宋体" w:eastAsia="宋体" w:cs="宋体"/>
          <w:b/>
          <w:bCs/>
          <w:color w:val="auto"/>
          <w:spacing w:val="7"/>
          <w:kern w:val="0"/>
          <w:sz w:val="28"/>
          <w:szCs w:val="28"/>
          <w:highlight w:val="none"/>
          <w:shd w:val="clear" w:color="auto" w:fill="FFFFFF"/>
        </w:rPr>
      </w:pPr>
      <w:r>
        <w:rPr>
          <w:rFonts w:hint="eastAsia" w:ascii="宋体" w:hAnsi="宋体" w:eastAsia="宋体" w:cs="宋体"/>
          <w:color w:val="auto"/>
          <w:sz w:val="28"/>
          <w:szCs w:val="28"/>
        </w:rPr>
        <w:t>b.中标供应商在履约过程中发生违约行为，给采购单位造成损失的，采购单位有权在中标供应商缴纳的履约保证金中予以扣款，以弥补采购单位经济损失，不足的部分中标供应商另外补齐。</w:t>
      </w:r>
    </w:p>
    <w:p w14:paraId="109EE6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hint="eastAsia" w:ascii="宋体" w:hAnsi="宋体" w:eastAsia="宋体" w:cs="宋体"/>
          <w:b/>
          <w:bCs/>
          <w:color w:val="auto"/>
          <w:spacing w:val="-5"/>
          <w:sz w:val="28"/>
          <w:szCs w:val="28"/>
          <w:highlight w:val="none"/>
        </w:rPr>
      </w:pPr>
      <w:r>
        <w:rPr>
          <w:rFonts w:hint="eastAsia" w:ascii="宋体" w:hAnsi="宋体" w:eastAsia="宋体" w:cs="宋体"/>
          <w:b/>
          <w:bCs/>
          <w:color w:val="auto"/>
          <w:spacing w:val="-5"/>
          <w:sz w:val="28"/>
          <w:szCs w:val="28"/>
          <w:highlight w:val="none"/>
          <w:lang w:val="en-US" w:eastAsia="zh-CN"/>
        </w:rPr>
        <w:t>十二</w:t>
      </w:r>
      <w:r>
        <w:rPr>
          <w:rFonts w:hint="eastAsia" w:ascii="宋体" w:hAnsi="宋体" w:eastAsia="宋体" w:cs="宋体"/>
          <w:b/>
          <w:bCs/>
          <w:color w:val="auto"/>
          <w:spacing w:val="-5"/>
          <w:sz w:val="28"/>
          <w:szCs w:val="28"/>
          <w:highlight w:val="none"/>
        </w:rPr>
        <w:t>、本项目不接受进口产品响应。</w:t>
      </w:r>
    </w:p>
    <w:p w14:paraId="7FC38F8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十三、合同条款</w:t>
      </w:r>
    </w:p>
    <w:p w14:paraId="76C37585">
      <w:pPr>
        <w:ind w:right="-402" w:firstLine="3855" w:firstLineChars="1600"/>
        <w:jc w:val="both"/>
        <w:outlineLvl w:val="0"/>
        <w:rPr>
          <w:rFonts w:hint="eastAsia" w:ascii="宋体" w:hAnsi="宋体" w:cs="宋体"/>
          <w:b/>
          <w:bCs/>
          <w:sz w:val="24"/>
          <w:highlight w:val="none"/>
        </w:rPr>
      </w:pPr>
      <w:r>
        <w:rPr>
          <w:rFonts w:hint="eastAsia" w:ascii="宋体" w:hAnsi="宋体" w:cs="宋体"/>
          <w:b/>
          <w:sz w:val="24"/>
          <w:highlight w:val="none"/>
        </w:rPr>
        <w:t>合同协议书</w:t>
      </w:r>
    </w:p>
    <w:p w14:paraId="67EFB864">
      <w:pPr>
        <w:pStyle w:val="45"/>
        <w:spacing w:line="440" w:lineRule="exact"/>
        <w:jc w:val="left"/>
        <w:rPr>
          <w:rFonts w:hint="eastAsia" w:ascii="宋体" w:hAnsi="宋体" w:cs="宋体"/>
          <w:b/>
          <w:bCs/>
          <w:sz w:val="24"/>
          <w:szCs w:val="24"/>
          <w:highlight w:val="none"/>
        </w:rPr>
      </w:pPr>
      <w:r>
        <w:rPr>
          <w:rFonts w:hint="eastAsia" w:ascii="宋体" w:hAnsi="宋体" w:cs="宋体"/>
          <w:b/>
          <w:bCs/>
          <w:sz w:val="24"/>
          <w:szCs w:val="24"/>
          <w:highlight w:val="none"/>
        </w:rPr>
        <w:t>一、说明</w:t>
      </w:r>
    </w:p>
    <w:p w14:paraId="5A4C0AC9">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买方：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 xml:space="preserve"> （以下简称买方）</w:t>
      </w:r>
    </w:p>
    <w:p w14:paraId="3E4B5B90">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卖方：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（以下简称卖方）</w:t>
      </w:r>
    </w:p>
    <w:p w14:paraId="6CCE6083">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根据《中华人民共和国民法典》等相关法律法规规定，合同各方依《中标通知书》内容，就</w:t>
      </w:r>
      <w:r>
        <w:rPr>
          <w:rFonts w:hint="eastAsia" w:ascii="宋体" w:hAnsi="宋体" w:cs="宋体"/>
          <w:sz w:val="24"/>
          <w:szCs w:val="24"/>
          <w:highlight w:val="none"/>
          <w:u w:val="single"/>
          <w:lang w:val="en-US" w:eastAsia="zh-CN"/>
        </w:rPr>
        <w:t>启东市洋吕铁路安置房（东区）二次供水泵房一标段（设备采购及安装项目）</w:t>
      </w:r>
      <w:r>
        <w:rPr>
          <w:rFonts w:hint="eastAsia" w:ascii="宋体" w:hAnsi="宋体" w:cs="宋体"/>
          <w:sz w:val="24"/>
          <w:szCs w:val="24"/>
          <w:highlight w:val="none"/>
        </w:rPr>
        <w:t>协商一致。相关具体商务及技术条款如下：</w:t>
      </w:r>
    </w:p>
    <w:p w14:paraId="7BA1B10A">
      <w:pPr>
        <w:pStyle w:val="45"/>
        <w:spacing w:line="440" w:lineRule="exact"/>
        <w:jc w:val="left"/>
        <w:rPr>
          <w:rFonts w:hint="eastAsia" w:ascii="宋体" w:hAnsi="宋体" w:cs="宋体"/>
          <w:b/>
          <w:bCs/>
          <w:sz w:val="24"/>
          <w:szCs w:val="24"/>
          <w:highlight w:val="none"/>
        </w:rPr>
      </w:pPr>
      <w:r>
        <w:rPr>
          <w:rFonts w:hint="eastAsia" w:ascii="宋体" w:hAnsi="宋体" w:cs="宋体"/>
          <w:b/>
          <w:bCs/>
          <w:sz w:val="24"/>
          <w:szCs w:val="24"/>
          <w:highlight w:val="none"/>
        </w:rPr>
        <w:t>二、买卖内容</w:t>
      </w:r>
    </w:p>
    <w:p w14:paraId="6C63DDCA">
      <w:pPr>
        <w:spacing w:line="440" w:lineRule="exact"/>
        <w:ind w:firstLine="480" w:firstLineChars="200"/>
        <w:jc w:val="left"/>
        <w:textAlignment w:val="baseline"/>
        <w:rPr>
          <w:rFonts w:hint="eastAsia" w:ascii="宋体" w:hAnsi="宋体" w:cs="宋体"/>
          <w:sz w:val="24"/>
          <w:highlight w:val="none"/>
        </w:rPr>
      </w:pPr>
      <w:r>
        <w:rPr>
          <w:rFonts w:hint="eastAsia" w:ascii="宋体" w:hAnsi="宋体" w:cs="宋体"/>
          <w:sz w:val="24"/>
          <w:highlight w:val="none"/>
        </w:rPr>
        <w:t>合同供货范围包括但不限于无负压成套设备的价格、包材料费、</w:t>
      </w:r>
      <w:r>
        <w:rPr>
          <w:rFonts w:hint="eastAsia" w:ascii="宋体" w:hAnsi="宋体" w:cs="宋体"/>
          <w:sz w:val="24"/>
          <w:highlight w:val="none"/>
          <w:lang w:val="en-US" w:eastAsia="zh-CN"/>
        </w:rPr>
        <w:t>设备安装费、设备调试费、</w:t>
      </w:r>
      <w:r>
        <w:rPr>
          <w:rFonts w:hint="eastAsia" w:ascii="宋体" w:hAnsi="宋体" w:cs="宋体"/>
          <w:sz w:val="24"/>
          <w:highlight w:val="none"/>
        </w:rPr>
        <w:t>材料运输费、运输保险费、装卸费、售后服务费、不可预见费、风险费、税金（增值税专用发票）、质保费等其它一切可能发生的相关费用。运输及装卸过程中的材料损耗由供应商承担</w:t>
      </w:r>
      <w:r>
        <w:rPr>
          <w:rFonts w:hint="eastAsia" w:ascii="宋体" w:hAnsi="宋体" w:cs="宋体"/>
          <w:sz w:val="24"/>
          <w:highlight w:val="none"/>
          <w:lang w:val="en-US" w:eastAsia="zh-CN"/>
        </w:rPr>
        <w:t>。</w:t>
      </w:r>
      <w:r>
        <w:rPr>
          <w:rFonts w:hint="eastAsia" w:ascii="宋体" w:hAnsi="宋体" w:cs="宋体"/>
          <w:sz w:val="24"/>
          <w:highlight w:val="none"/>
        </w:rPr>
        <w:t>请各投标人在报价时充分考虑各种因素（如税金、运输等各种费用）</w:t>
      </w:r>
      <w:r>
        <w:rPr>
          <w:rFonts w:hint="eastAsia" w:ascii="宋体" w:hAnsi="宋体" w:cs="宋体"/>
          <w:sz w:val="24"/>
          <w:highlight w:val="none"/>
          <w:lang w:val="en-US" w:eastAsia="zh-CN"/>
        </w:rPr>
        <w:t>，合同期内中标单价不作调整</w:t>
      </w:r>
      <w:r>
        <w:rPr>
          <w:rFonts w:hint="eastAsia" w:ascii="宋体" w:hAnsi="宋体" w:cs="宋体"/>
          <w:sz w:val="24"/>
          <w:highlight w:val="none"/>
        </w:rPr>
        <w:t>。</w:t>
      </w:r>
    </w:p>
    <w:p w14:paraId="6789334B">
      <w:pPr>
        <w:spacing w:line="440" w:lineRule="exact"/>
        <w:jc w:val="left"/>
        <w:textAlignment w:val="baseline"/>
        <w:rPr>
          <w:rFonts w:hint="eastAsia" w:ascii="宋体" w:hAnsi="宋体" w:cs="宋体"/>
          <w:b/>
          <w:bCs/>
          <w:sz w:val="24"/>
          <w:highlight w:val="none"/>
        </w:rPr>
      </w:pPr>
      <w:r>
        <w:rPr>
          <w:rFonts w:hint="eastAsia" w:ascii="宋体" w:hAnsi="宋体" w:cs="宋体"/>
          <w:b/>
          <w:bCs/>
          <w:sz w:val="24"/>
          <w:highlight w:val="none"/>
        </w:rPr>
        <w:t>三、下列文件为本合同不可分割部分</w:t>
      </w:r>
    </w:p>
    <w:p w14:paraId="0872B07E">
      <w:pPr>
        <w:pStyle w:val="45"/>
        <w:spacing w:line="440" w:lineRule="exact"/>
        <w:ind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（一）招标文件及补充通知；</w:t>
      </w:r>
    </w:p>
    <w:p w14:paraId="3B50408C">
      <w:pPr>
        <w:pStyle w:val="45"/>
        <w:spacing w:line="440" w:lineRule="exact"/>
        <w:ind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（二）中标文件和其它承诺、书面澄清等；</w:t>
      </w:r>
    </w:p>
    <w:p w14:paraId="3DCDAA1F">
      <w:pPr>
        <w:pStyle w:val="45"/>
        <w:spacing w:line="440" w:lineRule="exact"/>
        <w:ind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（三）其他约定文件等；</w:t>
      </w:r>
    </w:p>
    <w:p w14:paraId="79F8DACE">
      <w:pPr>
        <w:pStyle w:val="45"/>
        <w:spacing w:line="440" w:lineRule="exact"/>
        <w:ind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（四）中标通知书。</w:t>
      </w:r>
    </w:p>
    <w:p w14:paraId="141C60B4">
      <w:pPr>
        <w:pStyle w:val="45"/>
        <w:spacing w:line="440" w:lineRule="exact"/>
        <w:jc w:val="left"/>
        <w:rPr>
          <w:rFonts w:hint="eastAsia" w:ascii="宋体" w:hAnsi="宋体" w:cs="宋体"/>
          <w:b/>
          <w:bCs/>
          <w:sz w:val="24"/>
          <w:szCs w:val="24"/>
          <w:highlight w:val="none"/>
        </w:rPr>
      </w:pPr>
      <w:r>
        <w:rPr>
          <w:rFonts w:hint="eastAsia" w:ascii="宋体" w:hAnsi="宋体" w:cs="宋体"/>
          <w:b/>
          <w:bCs/>
          <w:sz w:val="24"/>
          <w:szCs w:val="24"/>
          <w:highlight w:val="none"/>
        </w:rPr>
        <w:t>四、合同价格与支付</w:t>
      </w:r>
    </w:p>
    <w:p w14:paraId="40FAD752">
      <w:pPr>
        <w:spacing w:line="440" w:lineRule="exact"/>
        <w:ind w:firstLine="240" w:firstLineChars="1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一</w:t>
      </w:r>
      <w:r>
        <w:rPr>
          <w:rFonts w:hint="eastAsia" w:ascii="宋体" w:hAnsi="宋体" w:cs="宋体"/>
          <w:sz w:val="24"/>
          <w:highlight w:val="none"/>
          <w:lang w:eastAsia="zh-CN"/>
        </w:rPr>
        <w:t>）</w:t>
      </w:r>
      <w:r>
        <w:rPr>
          <w:rFonts w:hint="eastAsia" w:ascii="宋体" w:hAnsi="宋体" w:cs="宋体"/>
          <w:sz w:val="24"/>
          <w:highlight w:val="none"/>
        </w:rPr>
        <w:t>本合同总价为：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元，本项目采用固定总价合同，卖方应根据买方提供的基础资料和项目要求，完成成套设备供货及安装等工作，明细费用详见卖方投标文件。卖方作为成熟的成套设备供应单位，应考虑所有的工作内容（卖方根据需要，可自行现场踏勘），对于买方资料应详细阅读，对于提供资料的未完善或疏忽之处，无论卖方是否在报价中列出相关明细报价，买方均认为其价格已含在合同总价中，且在今后合同执行过程中不得因此要求加价。合同总价已包含招标货物清单与技术要求中的所有供货范围，且在今后合同执行过程中双方除因图纸或货物数量调整而发生费用变更之外不得要求价格调整，单价在合同执行过程中不得调整。</w:t>
      </w:r>
    </w:p>
    <w:p w14:paraId="21FB5D4D">
      <w:pPr>
        <w:pStyle w:val="45"/>
        <w:spacing w:line="440" w:lineRule="exact"/>
        <w:ind w:firstLine="240" w:firstLineChars="1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付款步骤：</w:t>
      </w:r>
    </w:p>
    <w:p w14:paraId="7A906B55">
      <w:pPr>
        <w:pStyle w:val="45"/>
        <w:spacing w:line="440" w:lineRule="exact"/>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1、凭有效的验收证明文件作为付款依据。全部货物运送到指定地点，且安装、调试到位，并经采购单位验收合格后一个月内付至合同价款的80%， 审计结束后付至审计总价的90%，余款于验收合格之日起满六年且无任何质量问题后一月内一次性付清。   </w:t>
      </w:r>
    </w:p>
    <w:p w14:paraId="7CB60675">
      <w:pPr>
        <w:pStyle w:val="45"/>
        <w:spacing w:line="440" w:lineRule="exact"/>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每次付款前中标人需向采购人提供13%税率的增值税专用发票。</w:t>
      </w:r>
    </w:p>
    <w:p w14:paraId="717ED170">
      <w:pPr>
        <w:pStyle w:val="45"/>
        <w:spacing w:line="440" w:lineRule="exact"/>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履约保证金在货物安装调试完毕并经验收合格后一个月内退还。</w:t>
      </w:r>
    </w:p>
    <w:p w14:paraId="7C86D2B5">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本合同约定质量保证期为</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年。本合同的质量保证期从设备安装调试且综合验收合格之日起算。</w:t>
      </w:r>
    </w:p>
    <w:p w14:paraId="7FA8C69F">
      <w:pPr>
        <w:pStyle w:val="45"/>
        <w:spacing w:line="440" w:lineRule="exact"/>
        <w:ind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三</w:t>
      </w:r>
      <w:r>
        <w:rPr>
          <w:rFonts w:hint="eastAsia" w:ascii="宋体" w:hAnsi="宋体" w:cs="宋体"/>
          <w:sz w:val="24"/>
          <w:szCs w:val="24"/>
          <w:highlight w:val="none"/>
        </w:rPr>
        <w:t>）付款方式：银行转账或汇票。</w:t>
      </w:r>
    </w:p>
    <w:p w14:paraId="4FEA160F">
      <w:pPr>
        <w:pStyle w:val="45"/>
        <w:spacing w:line="440" w:lineRule="exact"/>
        <w:jc w:val="left"/>
        <w:rPr>
          <w:rFonts w:hint="eastAsia" w:ascii="宋体" w:hAnsi="宋体" w:cs="宋体"/>
          <w:b/>
          <w:bCs/>
          <w:sz w:val="24"/>
          <w:szCs w:val="24"/>
          <w:highlight w:val="none"/>
        </w:rPr>
      </w:pPr>
      <w:r>
        <w:rPr>
          <w:rFonts w:hint="eastAsia" w:ascii="宋体" w:hAnsi="宋体" w:cs="宋体"/>
          <w:b/>
          <w:bCs/>
          <w:sz w:val="24"/>
          <w:szCs w:val="24"/>
          <w:highlight w:val="none"/>
        </w:rPr>
        <w:t>五、交货条件</w:t>
      </w:r>
    </w:p>
    <w:p w14:paraId="1DFFEF0E">
      <w:pPr>
        <w:pStyle w:val="45"/>
        <w:spacing w:line="440" w:lineRule="exact"/>
        <w:ind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（一）交付方式：所有合同设备均由卖方装运至买方指定地点，所有设备的包装、运输等费用及运输安全均由卖方负责。</w:t>
      </w:r>
    </w:p>
    <w:p w14:paraId="178249D4">
      <w:pPr>
        <w:pStyle w:val="45"/>
        <w:spacing w:line="440" w:lineRule="exact"/>
        <w:ind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二）交货时间：中标后，接买方开工通知后40天完成供货及安装调试。如因卖方原因延期完工的，每逾期1天按合同总价0.5%支付违约金(上限15%)。逾期超两周未交货的，买方可书面通知(通知送达即生效)卖方全部或部分地终止合同并索赔，卖方须在14天内对索赔要求给予明确回复。</w:t>
      </w:r>
    </w:p>
    <w:p w14:paraId="2B3F29D9">
      <w:pPr>
        <w:pStyle w:val="45"/>
        <w:spacing w:line="440" w:lineRule="exact"/>
        <w:ind w:firstLine="240" w:firstLineChars="100"/>
        <w:jc w:val="left"/>
        <w:rPr>
          <w:rFonts w:hint="eastAsia" w:ascii="宋体" w:hAnsi="宋体" w:cs="宋体"/>
          <w:sz w:val="24"/>
          <w:szCs w:val="24"/>
          <w:highlight w:val="none"/>
          <w:lang w:val="en-US" w:eastAsia="zh-CN"/>
        </w:rPr>
      </w:pPr>
      <w:r>
        <w:rPr>
          <w:rFonts w:hint="eastAsia" w:ascii="宋体" w:hAnsi="宋体" w:cs="宋体"/>
          <w:sz w:val="24"/>
          <w:szCs w:val="24"/>
          <w:highlight w:val="none"/>
        </w:rPr>
        <w:t>（三）交货地点：</w:t>
      </w:r>
      <w:r>
        <w:rPr>
          <w:rFonts w:hint="eastAsia" w:ascii="宋体" w:hAnsi="宋体" w:cs="宋体"/>
          <w:sz w:val="24"/>
          <w:szCs w:val="24"/>
          <w:highlight w:val="none"/>
          <w:lang w:val="en-US" w:eastAsia="zh-CN"/>
        </w:rPr>
        <w:t>运输并卸货至买方指定地点，并指导安装。</w:t>
      </w:r>
    </w:p>
    <w:p w14:paraId="57523817">
      <w:pPr>
        <w:pStyle w:val="45"/>
        <w:spacing w:line="440" w:lineRule="exact"/>
        <w:ind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（四）发货通知：卖方发货到工程工地现场，应以函、电的形式正式通告买方。</w:t>
      </w:r>
    </w:p>
    <w:p w14:paraId="1001BD67">
      <w:pPr>
        <w:pStyle w:val="45"/>
        <w:spacing w:line="440" w:lineRule="exact"/>
        <w:ind w:firstLine="240" w:firstLineChars="100"/>
        <w:jc w:val="left"/>
        <w:rPr>
          <w:rFonts w:hint="eastAsia" w:ascii="宋体" w:hAnsi="宋体" w:cs="宋体"/>
          <w:sz w:val="24"/>
          <w:szCs w:val="24"/>
          <w:highlight w:val="none"/>
          <w:lang w:val="en-US" w:eastAsia="zh-CN"/>
        </w:rPr>
      </w:pPr>
      <w:r>
        <w:rPr>
          <w:rFonts w:hint="eastAsia" w:ascii="宋体" w:hAnsi="宋体" w:cs="宋体"/>
          <w:sz w:val="24"/>
          <w:szCs w:val="24"/>
          <w:highlight w:val="none"/>
        </w:rPr>
        <w:t>（五）</w:t>
      </w:r>
      <w:r>
        <w:rPr>
          <w:rFonts w:hint="eastAsia" w:ascii="宋体" w:hAnsi="宋体" w:cs="宋体"/>
          <w:sz w:val="24"/>
          <w:szCs w:val="24"/>
          <w:highlight w:val="none"/>
          <w:lang w:val="en-US" w:eastAsia="zh-CN"/>
        </w:rPr>
        <w:t>安装方式：泵房市政管网取水口-低中高三区泵房出水口（含调峰水箱的进水和出水）。</w:t>
      </w:r>
    </w:p>
    <w:p w14:paraId="09917EEE">
      <w:pPr>
        <w:pStyle w:val="45"/>
        <w:spacing w:line="440" w:lineRule="exact"/>
        <w:ind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（六）所有设备的外观、包装、运输应按国家规定或部颁标准执行。任何由于卖方包装及保护措施不足或不当以及其它原因造成的损坏或丢失，均由卖方负责修复或补缺。</w:t>
      </w:r>
    </w:p>
    <w:p w14:paraId="05686D7B">
      <w:pPr>
        <w:pStyle w:val="45"/>
        <w:spacing w:line="440" w:lineRule="exact"/>
        <w:ind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七</w:t>
      </w:r>
      <w:r>
        <w:rPr>
          <w:rFonts w:hint="eastAsia" w:ascii="宋体" w:hAnsi="宋体" w:cs="宋体"/>
          <w:sz w:val="24"/>
          <w:szCs w:val="24"/>
          <w:highlight w:val="none"/>
        </w:rPr>
        <w:t>）设备交货时，包装须完整无破损，卖方还必须提供以下材料：</w:t>
      </w:r>
    </w:p>
    <w:p w14:paraId="68D3BF1D">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A、设备装箱清单 B、质量检验合格文件 （若产品需要）</w:t>
      </w:r>
    </w:p>
    <w:p w14:paraId="67F27992">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C、中文技术资料 D、使用维修保养中文说明书</w:t>
      </w:r>
    </w:p>
    <w:p w14:paraId="32DF8C88">
      <w:pPr>
        <w:pStyle w:val="45"/>
        <w:spacing w:line="440" w:lineRule="exact"/>
        <w:jc w:val="left"/>
        <w:rPr>
          <w:rFonts w:hint="eastAsia" w:ascii="宋体" w:hAnsi="宋体" w:cs="宋体"/>
          <w:b/>
          <w:bCs/>
          <w:sz w:val="24"/>
          <w:szCs w:val="24"/>
          <w:highlight w:val="none"/>
        </w:rPr>
      </w:pPr>
      <w:r>
        <w:rPr>
          <w:rFonts w:hint="eastAsia" w:ascii="宋体" w:hAnsi="宋体" w:cs="宋体"/>
          <w:b/>
          <w:bCs/>
          <w:sz w:val="24"/>
          <w:szCs w:val="24"/>
          <w:highlight w:val="none"/>
        </w:rPr>
        <w:t>六、履约保证金</w:t>
      </w:r>
    </w:p>
    <w:p w14:paraId="28996C92">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（一）金额：</w:t>
      </w:r>
      <w:r>
        <w:rPr>
          <w:rFonts w:hint="eastAsia" w:ascii="宋体" w:hAnsi="宋体" w:cs="宋体"/>
          <w:sz w:val="24"/>
          <w:szCs w:val="24"/>
          <w:highlight w:val="none"/>
        </w:rPr>
        <w:t>项目中标价的10%（￥</w:t>
      </w:r>
      <w:r>
        <w:rPr>
          <w:rFonts w:hint="eastAsia" w:ascii="宋体" w:hAnsi="宋体" w:cs="宋体"/>
          <w:sz w:val="24"/>
          <w:szCs w:val="24"/>
          <w:highlight w:val="none"/>
          <w:u w:val="single"/>
        </w:rPr>
        <w:t xml:space="preserve"> </w:t>
      </w:r>
      <w:r>
        <w:rPr>
          <w:rFonts w:hint="eastAsia" w:ascii="宋体" w:hAnsi="宋体" w:cs="宋体"/>
          <w:sz w:val="24"/>
          <w:highlight w:val="none"/>
          <w:u w:val="single"/>
          <w:lang w:val="en-US" w:eastAsia="zh-CN"/>
        </w:rPr>
        <w:t xml:space="preserve">    元</w:t>
      </w:r>
      <w:r>
        <w:rPr>
          <w:rFonts w:hint="eastAsia" w:ascii="宋体" w:hAnsi="宋体" w:cs="宋体"/>
          <w:sz w:val="24"/>
          <w:szCs w:val="24"/>
          <w:highlight w:val="none"/>
          <w:u w:val="single"/>
        </w:rPr>
        <w:t xml:space="preserve"> </w:t>
      </w:r>
      <w:r>
        <w:rPr>
          <w:rFonts w:hint="eastAsia" w:ascii="宋体" w:hAnsi="宋体" w:cs="宋体"/>
          <w:sz w:val="24"/>
          <w:szCs w:val="24"/>
          <w:highlight w:val="none"/>
        </w:rPr>
        <w:t>），卖方的履约保证金须在中标通知书发出之日起30日内汇入买方账户（应当以数字人民币、银行转账、网银、电汇、支票、本票、汇票、银行保函、保险保函形式提交），卖方应当在中标通知书发出之日起30日内，凭中标通知书和履约保证金缴纳凭证，和买方订立书面合同。卖方在中标通知书发出之日起30日内未缴纳履约保证金或不与买方签订合同的，视为自动放弃中标资格，买方可以取消其中标资格。</w:t>
      </w:r>
    </w:p>
    <w:p w14:paraId="58F3993E">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卖方全部履约合同义务，履约保证金在货物安装调试完毕并经验收合格</w:t>
      </w:r>
      <w:r>
        <w:rPr>
          <w:rFonts w:hint="eastAsia" w:ascii="宋体" w:hAnsi="宋体" w:cs="宋体"/>
          <w:sz w:val="24"/>
          <w:szCs w:val="24"/>
          <w:highlight w:val="none"/>
          <w:lang w:val="en-US" w:eastAsia="zh-CN"/>
        </w:rPr>
        <w:t>无质量、进度等问题</w:t>
      </w:r>
      <w:r>
        <w:rPr>
          <w:rFonts w:hint="eastAsia" w:ascii="宋体" w:hAnsi="宋体" w:cs="宋体"/>
          <w:sz w:val="24"/>
          <w:szCs w:val="24"/>
          <w:highlight w:val="none"/>
        </w:rPr>
        <w:t>后一个月内退还。买方若逾期退还履约保证金的，按照逾期部分的每日0.05%支付违约金。</w:t>
      </w:r>
    </w:p>
    <w:p w14:paraId="31188997">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(三）</w:t>
      </w:r>
      <w:r>
        <w:rPr>
          <w:rFonts w:hint="eastAsia" w:ascii="宋体" w:hAnsi="宋体" w:cs="宋体"/>
          <w:sz w:val="24"/>
          <w:szCs w:val="24"/>
          <w:highlight w:val="none"/>
        </w:rPr>
        <w:t>发生以下情况的，履约保证金不予退还或部分退还：</w:t>
      </w:r>
    </w:p>
    <w:p w14:paraId="1E0735B4">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签订合同后，卖方不履行合同义务的，买方有权全额扣除履约保证金，全额不予退还，同时买方亦有权终止合同，卖方还须承担相应的法律赔偿责任。</w:t>
      </w:r>
    </w:p>
    <w:p w14:paraId="3A558DD4">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卖方在履约过程中发生违约行为，给买方造成损失的，买方有权在卖方缴纳的履约保证金中予以扣款，以弥补买方经济损失，不足的部分卖方另外补齐。</w:t>
      </w:r>
    </w:p>
    <w:p w14:paraId="33F0536A">
      <w:pPr>
        <w:pStyle w:val="45"/>
        <w:spacing w:line="440" w:lineRule="exact"/>
        <w:jc w:val="left"/>
        <w:rPr>
          <w:rFonts w:hint="eastAsia" w:ascii="宋体" w:hAnsi="宋体" w:cs="宋体"/>
          <w:b/>
          <w:bCs/>
          <w:sz w:val="24"/>
          <w:szCs w:val="24"/>
          <w:highlight w:val="none"/>
        </w:rPr>
      </w:pPr>
      <w:r>
        <w:rPr>
          <w:rFonts w:hint="eastAsia" w:ascii="宋体" w:hAnsi="宋体" w:cs="宋体"/>
          <w:b/>
          <w:bCs/>
          <w:sz w:val="24"/>
          <w:szCs w:val="24"/>
          <w:highlight w:val="none"/>
        </w:rPr>
        <w:t>七、质量标准</w:t>
      </w:r>
    </w:p>
    <w:p w14:paraId="6C366C73">
      <w:pPr>
        <w:spacing w:line="440" w:lineRule="exact"/>
        <w:ind w:firstLine="480" w:firstLineChars="200"/>
        <w:rPr>
          <w:rFonts w:hint="eastAsia" w:ascii="宋体" w:hAnsi="宋体" w:cs="宋体"/>
          <w:sz w:val="24"/>
          <w:highlight w:val="none"/>
        </w:rPr>
      </w:pPr>
      <w:r>
        <w:rPr>
          <w:rFonts w:hint="eastAsia" w:ascii="宋体" w:hAnsi="宋体" w:cs="宋体"/>
          <w:sz w:val="24"/>
          <w:szCs w:val="24"/>
          <w:highlight w:val="none"/>
          <w:lang w:val="en-US" w:eastAsia="zh-CN"/>
        </w:rPr>
        <w:t>（一）</w:t>
      </w:r>
      <w:r>
        <w:rPr>
          <w:rFonts w:hint="eastAsia" w:ascii="宋体" w:hAnsi="宋体" w:cs="宋体"/>
          <w:sz w:val="24"/>
          <w:highlight w:val="none"/>
        </w:rPr>
        <w:t>本合同货物的制作与安装均必须符合技术协议书的要求（见《</w:t>
      </w:r>
      <w:r>
        <w:rPr>
          <w:rFonts w:hint="eastAsia" w:ascii="宋体" w:hAnsi="宋体" w:cs="宋体"/>
          <w:sz w:val="24"/>
          <w:highlight w:val="none"/>
          <w:lang w:eastAsia="zh-CN"/>
        </w:rPr>
        <w:t>启东市供水企业居民住宅二次供水工程技术规程相关要求（含附件）</w:t>
      </w:r>
      <w:r>
        <w:rPr>
          <w:rFonts w:hint="eastAsia" w:ascii="宋体" w:hAnsi="宋体" w:cs="宋体"/>
          <w:sz w:val="24"/>
          <w:highlight w:val="none"/>
        </w:rPr>
        <w:t>》），但并不只限于满足上述所列全部技术规范及功能要求。</w:t>
      </w:r>
    </w:p>
    <w:p w14:paraId="30EE8289">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卖方和制造商应严格按照技术要求、买方的技术条款和有关标准生产和检验，确保产品的质量。同时卖方保证合同货物是先进的、采用最好的材料和工艺制成的，并且是全新的、未曾使用过的，完全能符合合同规定的质量、规格和性能的要求。</w:t>
      </w:r>
    </w:p>
    <w:p w14:paraId="730B8748">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（三）</w:t>
      </w:r>
      <w:r>
        <w:rPr>
          <w:rFonts w:hint="eastAsia" w:ascii="宋体" w:hAnsi="宋体" w:cs="宋体"/>
          <w:sz w:val="24"/>
          <w:szCs w:val="24"/>
          <w:highlight w:val="none"/>
        </w:rPr>
        <w:t>卖方保证合同货物经正确安装、合理操作和维护保养，在其使用寿命期内能运转良好，具有满意的性能。</w:t>
      </w:r>
    </w:p>
    <w:p w14:paraId="55EA4E16">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（四）</w:t>
      </w:r>
      <w:r>
        <w:rPr>
          <w:rFonts w:hint="eastAsia" w:ascii="宋体" w:hAnsi="宋体" w:cs="宋体"/>
          <w:sz w:val="24"/>
          <w:szCs w:val="24"/>
          <w:highlight w:val="none"/>
        </w:rPr>
        <w:t>对合同货物的质量应按照技术协议书和有关质量标准或验收规范进行验收。卖方负责提供相应的质量标准和验收规范供买方参考。合同货物安装后，卖方应及时协助买方进行调试运行工作，并参加买方组织的最终验收工作。</w:t>
      </w:r>
    </w:p>
    <w:p w14:paraId="2237609D">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（五）</w:t>
      </w:r>
      <w:r>
        <w:rPr>
          <w:rFonts w:hint="eastAsia" w:ascii="宋体" w:hAnsi="宋体" w:cs="宋体"/>
          <w:sz w:val="24"/>
          <w:szCs w:val="24"/>
          <w:highlight w:val="none"/>
        </w:rPr>
        <w:t>在合同货物综合验收合格后的质量保修期内，如因买方使用不当和保管不善造成的问题，卖方应积极配合解决，但费用由买方负担。</w:t>
      </w:r>
    </w:p>
    <w:p w14:paraId="5499834D">
      <w:pPr>
        <w:pStyle w:val="45"/>
        <w:spacing w:line="440" w:lineRule="exact"/>
        <w:jc w:val="left"/>
        <w:rPr>
          <w:rFonts w:hint="eastAsia" w:ascii="宋体" w:hAnsi="宋体" w:cs="宋体"/>
          <w:b/>
          <w:bCs/>
          <w:sz w:val="24"/>
          <w:szCs w:val="24"/>
          <w:highlight w:val="none"/>
        </w:rPr>
      </w:pPr>
      <w:r>
        <w:rPr>
          <w:rFonts w:hint="eastAsia" w:ascii="宋体" w:hAnsi="宋体" w:cs="宋体"/>
          <w:b/>
          <w:bCs/>
          <w:sz w:val="24"/>
          <w:szCs w:val="24"/>
          <w:highlight w:val="none"/>
        </w:rPr>
        <w:t>八、检验、安装、调试、试运行和验收</w:t>
      </w:r>
    </w:p>
    <w:p w14:paraId="29F638AA">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 xml:space="preserve"> 买方有权就卖方送至指定地点的任一批次货物根据国家相关质量标准或验收规范进行抽检检测。</w:t>
      </w:r>
    </w:p>
    <w:p w14:paraId="4876919F">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 xml:space="preserve"> 所有货物运达指定地点后，卖方负责接货。如因包装不当造成货物质量下降或破损、缺件等，卖方承担全部责任。如运输部门造成的破损、缺件等事故，由卖方负责处理解决。</w:t>
      </w:r>
    </w:p>
    <w:p w14:paraId="50189A04">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（三）</w:t>
      </w:r>
      <w:r>
        <w:rPr>
          <w:rFonts w:hint="eastAsia" w:ascii="宋体" w:hAnsi="宋体" w:cs="宋体"/>
          <w:sz w:val="24"/>
          <w:szCs w:val="24"/>
          <w:highlight w:val="none"/>
        </w:rPr>
        <w:t>所有货物全部到达现场后，买方即安排对货物外观等进行开箱检验，卖方须派人到现场参加开箱检验。如卖方不能按时到达现场，又无函电通知时，买方有权开箱检验，并对缺件、损坏等情况做出记录，卖方应认可并负责处理。若发现有质量问题买方有权拒收。</w:t>
      </w:r>
    </w:p>
    <w:p w14:paraId="3D856D15">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（四）</w:t>
      </w:r>
      <w:r>
        <w:rPr>
          <w:rFonts w:hint="eastAsia" w:ascii="宋体" w:hAnsi="宋体" w:cs="宋体"/>
          <w:sz w:val="24"/>
          <w:szCs w:val="24"/>
          <w:highlight w:val="none"/>
        </w:rPr>
        <w:t xml:space="preserve"> 所有货物由卖方根据招标文件中的技术要求、检验标准及说明书进行安装和调试。在所有货物安装完毕且调试验收合格前，由卖方承担所有货物缺失、损坏的责任及风险。</w:t>
      </w:r>
    </w:p>
    <w:p w14:paraId="3F3D8E53">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（五）</w:t>
      </w:r>
      <w:r>
        <w:rPr>
          <w:rFonts w:hint="eastAsia" w:ascii="宋体" w:hAnsi="宋体" w:cs="宋体"/>
          <w:sz w:val="24"/>
          <w:szCs w:val="24"/>
          <w:highlight w:val="none"/>
        </w:rPr>
        <w:t xml:space="preserve"> 所有货物安装完毕后的验收工作按照招标文件和技术协议书要求进行，卖方派人参加调试，并应尽快解决调试中出现的问题。在按照调试合格后的试运行期间，如合同货物都能安全稳定运行、数据正常传输，即可由买卖双方选择适当时间进行性能验收，这项验收试验由买方负责，买卖双方共同参加验收。验收后，买方向卖方出具综合验收结果报告。若验收结果不合格，将按照本合同约定的相关违约条款执行。</w:t>
      </w:r>
    </w:p>
    <w:p w14:paraId="1D633115">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（六）</w:t>
      </w:r>
      <w:r>
        <w:rPr>
          <w:rFonts w:hint="eastAsia" w:ascii="宋体" w:hAnsi="宋体" w:cs="宋体"/>
          <w:sz w:val="24"/>
          <w:szCs w:val="24"/>
          <w:highlight w:val="none"/>
        </w:rPr>
        <w:t>如设备检验或验收结果不合格，买方有权进行退货处理，由此造成的各种费用和责任均由卖方承担。</w:t>
      </w:r>
    </w:p>
    <w:p w14:paraId="703EB9F0">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（七）</w:t>
      </w:r>
      <w:r>
        <w:rPr>
          <w:rFonts w:hint="eastAsia" w:ascii="宋体" w:hAnsi="宋体" w:cs="宋体"/>
          <w:sz w:val="24"/>
          <w:szCs w:val="24"/>
          <w:highlight w:val="none"/>
        </w:rPr>
        <w:t>无论何时，买方对货物所做的检验或验收程序，均不能免除卖方对本合同产品质量应当承担的责任和义务。</w:t>
      </w:r>
    </w:p>
    <w:p w14:paraId="01907FAB">
      <w:pPr>
        <w:pStyle w:val="45"/>
        <w:spacing w:line="440" w:lineRule="exact"/>
        <w:jc w:val="left"/>
        <w:rPr>
          <w:rFonts w:hint="eastAsia" w:ascii="宋体" w:hAnsi="宋体" w:cs="宋体"/>
          <w:b/>
          <w:bCs/>
          <w:sz w:val="24"/>
          <w:szCs w:val="24"/>
          <w:highlight w:val="none"/>
        </w:rPr>
      </w:pPr>
      <w:r>
        <w:rPr>
          <w:rFonts w:hint="eastAsia" w:ascii="宋体" w:hAnsi="宋体" w:cs="宋体"/>
          <w:b/>
          <w:bCs/>
          <w:sz w:val="24"/>
          <w:szCs w:val="24"/>
          <w:highlight w:val="none"/>
        </w:rPr>
        <w:t>九、技术资料的提供</w:t>
      </w:r>
    </w:p>
    <w:p w14:paraId="7342382E">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在合同货物安装调试且验收合格后15天内，卖方应向买方提交所有合同货物的竣工技术资料，竣工技术资料均为完整的全套，书面资料计三套，另一套为电子文档，载体为光盘。具体技术资料的提供要求按照招标文件的相关条款执行。</w:t>
      </w:r>
    </w:p>
    <w:p w14:paraId="0FEB4535">
      <w:pPr>
        <w:pStyle w:val="45"/>
        <w:spacing w:line="440" w:lineRule="exact"/>
        <w:jc w:val="left"/>
        <w:rPr>
          <w:rFonts w:hint="eastAsia" w:ascii="宋体" w:hAnsi="宋体" w:cs="宋体"/>
          <w:b/>
          <w:bCs/>
          <w:sz w:val="24"/>
          <w:szCs w:val="24"/>
          <w:highlight w:val="none"/>
        </w:rPr>
      </w:pPr>
      <w:r>
        <w:rPr>
          <w:rFonts w:hint="eastAsia" w:ascii="宋体" w:hAnsi="宋体" w:cs="宋体"/>
          <w:b/>
          <w:bCs/>
          <w:sz w:val="24"/>
          <w:szCs w:val="24"/>
          <w:highlight w:val="none"/>
        </w:rPr>
        <w:t>十、包装与标记</w:t>
      </w:r>
    </w:p>
    <w:p w14:paraId="790F74BF">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包装应按货物特点，保证在运输、装卸过程中完好无损，并有减振、防冲击的措施。按需要分别加上防潮、防雹、防锈、防腐蚀的保护措施，以保证货物在没有任何损坏和腐蚀的情况下安全运抵合同货物安装现场。产品包装前，卖方负责按部套进行检查清理，不留异物，并保证本部件齐全。</w:t>
      </w:r>
    </w:p>
    <w:p w14:paraId="271C4AF1">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卖方应在每件包装箱的两个侧面上，用不褪色的油漆以明显易见的中文字样印刷以下标记：（1）合同号；（2）目的站/码头；（3）供货、收货单位名称；（4）货物名称、机组号、图号；（5）箱号／件号；（6）毛重/净重（公斤）；（7）体积（长x宽X高，以毫米表示）等；凡重量为二吨或超过二吨的货物，应在包装箱的侧面以运输常用的标记和图案标明重心位置及起吊点，以便于装卸搬运。按照货物的特点，装卸和运输上的不同要求，包装箱上应明显地印刷有“轻放”、“勿倒置”和“防雨”等字样。</w:t>
      </w:r>
    </w:p>
    <w:p w14:paraId="1A98076B">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（三）</w:t>
      </w:r>
      <w:r>
        <w:rPr>
          <w:rFonts w:hint="eastAsia" w:ascii="宋体" w:hAnsi="宋体" w:cs="宋体"/>
          <w:sz w:val="24"/>
          <w:szCs w:val="24"/>
          <w:highlight w:val="none"/>
        </w:rPr>
        <w:t>每件包装箱内，应附有包括分件名称、数量、机组号、图号的详细装箱单、合格证。外购件包装箱内应有产品出厂质量合格证明书、技术说明各一份。</w:t>
      </w:r>
    </w:p>
    <w:p w14:paraId="69E67DF0">
      <w:pPr>
        <w:pStyle w:val="45"/>
        <w:spacing w:line="440" w:lineRule="exact"/>
        <w:jc w:val="left"/>
        <w:rPr>
          <w:rFonts w:hint="eastAsia" w:ascii="宋体" w:hAnsi="宋体" w:cs="宋体"/>
          <w:b/>
          <w:bCs/>
          <w:sz w:val="24"/>
          <w:szCs w:val="24"/>
          <w:highlight w:val="none"/>
        </w:rPr>
      </w:pPr>
      <w:r>
        <w:rPr>
          <w:rFonts w:hint="eastAsia" w:ascii="宋体" w:hAnsi="宋体" w:cs="宋体"/>
          <w:b/>
          <w:bCs/>
          <w:sz w:val="24"/>
          <w:szCs w:val="24"/>
          <w:highlight w:val="none"/>
        </w:rPr>
        <w:t>十一、技术服务、培训和联络</w:t>
      </w:r>
    </w:p>
    <w:p w14:paraId="66D00448">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卖方应及时提供与本合同货物有关的工程设计、监造、检验、土建、安装、调试、验收、性能验收试验、运行、检修等相应的技术指导、技术配合等全过程的服务。此类服务不发生合同外费用。</w:t>
      </w:r>
    </w:p>
    <w:p w14:paraId="18FFA098">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卖方负责工地现场的技术服务、安装、调试和试运行，并负责解决合同货物在安装、调试、试运行中发现的制造质量及性能等有关问题。同时卖方需对买方的操作人员进行技术培训，并保证操作人员能独立操作。</w:t>
      </w:r>
    </w:p>
    <w:p w14:paraId="535FE75B">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（三）</w:t>
      </w:r>
      <w:r>
        <w:rPr>
          <w:rFonts w:hint="eastAsia" w:ascii="宋体" w:hAnsi="宋体" w:cs="宋体"/>
          <w:sz w:val="24"/>
          <w:szCs w:val="24"/>
          <w:highlight w:val="none"/>
        </w:rPr>
        <w:t>卖方（包括分包与外购）需对一切与本合同有关的供货、货物及技术接口、技术服务等问题负全部责任。</w:t>
      </w:r>
    </w:p>
    <w:p w14:paraId="4CABE39D">
      <w:pPr>
        <w:pStyle w:val="45"/>
        <w:spacing w:line="440" w:lineRule="exact"/>
        <w:jc w:val="left"/>
        <w:rPr>
          <w:rFonts w:hint="eastAsia" w:ascii="宋体" w:hAnsi="宋体" w:cs="宋体"/>
          <w:b/>
          <w:bCs/>
          <w:sz w:val="24"/>
          <w:szCs w:val="24"/>
          <w:highlight w:val="none"/>
        </w:rPr>
      </w:pPr>
      <w:r>
        <w:rPr>
          <w:rFonts w:hint="eastAsia" w:ascii="宋体" w:hAnsi="宋体" w:cs="宋体"/>
          <w:b/>
          <w:bCs/>
          <w:sz w:val="24"/>
          <w:szCs w:val="24"/>
          <w:highlight w:val="none"/>
        </w:rPr>
        <w:t>十二、售后服务及其他要求</w:t>
      </w:r>
    </w:p>
    <w:p w14:paraId="0D2056BE">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卖方按买方的需求及时到货、安装和调试，在货物安装调试过程中如发现质量问题，卖方必须负责包修、包退、包换。</w:t>
      </w:r>
    </w:p>
    <w:p w14:paraId="5E24619C">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本合同所有货物的免费质量保修期为</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rPr>
        <w:t>年，在质量保修期内该产品出现质量问题，卖方负责无条件免费维修或更换。</w:t>
      </w:r>
    </w:p>
    <w:p w14:paraId="0EE5B6E6">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（三）</w:t>
      </w:r>
      <w:r>
        <w:rPr>
          <w:rFonts w:hint="eastAsia" w:ascii="宋体" w:hAnsi="宋体" w:cs="宋体"/>
          <w:sz w:val="24"/>
          <w:szCs w:val="24"/>
          <w:highlight w:val="none"/>
        </w:rPr>
        <w:t>合同货物出现故障或自控系统不能正常传输数据，卖方必须在接到买方通知1小时内到达现场进行维修服务，如3次及以上未及时响应,将被拉入启东市</w:t>
      </w:r>
      <w:r>
        <w:rPr>
          <w:rFonts w:hint="eastAsia" w:ascii="宋体" w:hAnsi="宋体" w:cs="宋体"/>
          <w:sz w:val="24"/>
          <w:szCs w:val="24"/>
          <w:highlight w:val="none"/>
          <w:lang w:val="en-US" w:eastAsia="zh-CN"/>
        </w:rPr>
        <w:t>吕四</w:t>
      </w:r>
      <w:r>
        <w:rPr>
          <w:rFonts w:hint="eastAsia" w:ascii="宋体" w:hAnsi="宋体" w:cs="宋体"/>
          <w:sz w:val="24"/>
          <w:szCs w:val="24"/>
          <w:highlight w:val="none"/>
        </w:rPr>
        <w:t>自来水厂有限公司合作企业“黑名单”。</w:t>
      </w:r>
    </w:p>
    <w:p w14:paraId="7B998039">
      <w:pPr>
        <w:spacing w:line="440" w:lineRule="exact"/>
        <w:ind w:firstLine="480" w:firstLineChars="200"/>
        <w:contextualSpacing/>
        <w:jc w:val="left"/>
        <w:rPr>
          <w:rFonts w:hint="eastAsia" w:ascii="宋体" w:hAnsi="宋体" w:cs="宋体"/>
          <w:sz w:val="24"/>
          <w:highlight w:val="none"/>
        </w:rPr>
      </w:pPr>
      <w:r>
        <w:rPr>
          <w:rFonts w:hint="eastAsia" w:ascii="宋体" w:hAnsi="宋体" w:cs="宋体"/>
          <w:sz w:val="24"/>
          <w:szCs w:val="24"/>
          <w:highlight w:val="none"/>
          <w:lang w:val="en-US" w:eastAsia="zh-CN"/>
        </w:rPr>
        <w:t>（四）</w:t>
      </w:r>
      <w:r>
        <w:rPr>
          <w:rFonts w:hint="eastAsia" w:ascii="宋体" w:hAnsi="宋体" w:cs="宋体"/>
          <w:sz w:val="24"/>
          <w:highlight w:val="none"/>
        </w:rPr>
        <w:t>在免费保修期内，卖方在接到用户单位电话维修通知后，卖方在</w:t>
      </w:r>
      <w:r>
        <w:rPr>
          <w:rFonts w:hint="eastAsia" w:ascii="宋体" w:hAnsi="宋体" w:cs="宋体"/>
          <w:sz w:val="24"/>
          <w:highlight w:val="none"/>
          <w:u w:val="single"/>
          <w:lang w:val="en-US" w:eastAsia="zh-CN"/>
        </w:rPr>
        <w:t xml:space="preserve"> 4 </w:t>
      </w:r>
      <w:r>
        <w:rPr>
          <w:rFonts w:hint="eastAsia" w:ascii="宋体" w:hAnsi="宋体" w:cs="宋体"/>
          <w:sz w:val="24"/>
          <w:highlight w:val="none"/>
        </w:rPr>
        <w:t>小时内予以更换或维修完毕，确保不影响用户单位实际使用。未及时修复的，买方有权另行安排其他队伍进行维修，所产生的维修费用从合同价款中直接扣除。卖方超时或未在规定的时间内及时维修，每次按2000元扣款。在质保期内，同一商品、同一质量问题连续两次维修仍无法正常使用，卖方无条件给予全套更新或退货。</w:t>
      </w:r>
    </w:p>
    <w:p w14:paraId="1F66836A">
      <w:pPr>
        <w:spacing w:line="440" w:lineRule="exact"/>
        <w:ind w:firstLine="480" w:firstLineChars="200"/>
        <w:contextualSpacing/>
        <w:jc w:val="left"/>
        <w:rPr>
          <w:rFonts w:hint="eastAsia" w:ascii="宋体" w:hAnsi="宋体" w:cs="宋体"/>
          <w:sz w:val="24"/>
          <w:highlight w:val="none"/>
        </w:rPr>
      </w:pPr>
      <w:r>
        <w:rPr>
          <w:rFonts w:hint="eastAsia" w:ascii="宋体" w:hAnsi="宋体" w:cs="宋体"/>
          <w:sz w:val="24"/>
          <w:szCs w:val="24"/>
          <w:highlight w:val="none"/>
          <w:lang w:val="en-US" w:eastAsia="zh-CN"/>
        </w:rPr>
        <w:t>（五）</w:t>
      </w:r>
      <w:r>
        <w:rPr>
          <w:rFonts w:hint="eastAsia" w:ascii="宋体" w:hAnsi="宋体" w:cs="宋体"/>
          <w:sz w:val="24"/>
          <w:highlight w:val="none"/>
        </w:rPr>
        <w:t>由于卖方提供的货物质量问题造成用户或第三人的财产或人身损害，由卖方承担全部责任。</w:t>
      </w:r>
    </w:p>
    <w:p w14:paraId="1984A0E8">
      <w:pPr>
        <w:spacing w:line="440" w:lineRule="exact"/>
        <w:ind w:firstLine="480" w:firstLineChars="200"/>
        <w:contextualSpacing/>
        <w:jc w:val="left"/>
        <w:rPr>
          <w:rFonts w:hint="eastAsia" w:ascii="宋体" w:hAnsi="宋体" w:cs="宋体"/>
          <w:sz w:val="24"/>
          <w:highlight w:val="none"/>
        </w:rPr>
      </w:pPr>
      <w:r>
        <w:rPr>
          <w:rFonts w:hint="eastAsia" w:ascii="宋体" w:hAnsi="宋体" w:cs="宋体"/>
          <w:sz w:val="24"/>
          <w:szCs w:val="24"/>
          <w:highlight w:val="none"/>
          <w:lang w:val="en-US" w:eastAsia="zh-CN"/>
        </w:rPr>
        <w:t>（六）</w:t>
      </w:r>
      <w:r>
        <w:rPr>
          <w:rFonts w:hint="eastAsia" w:ascii="宋体" w:hAnsi="宋体" w:cs="宋体"/>
          <w:sz w:val="24"/>
          <w:highlight w:val="none"/>
        </w:rPr>
        <w:t>安全生产、文明施工：卖方在安装调试过程中应严格按买方要求进行管理，遵守安全生产操作规程，设置专职安全员，并采取必要的安全防护措施，以确保施工安全。如因卖方违章指挥、违章操作而引起安全事故或其他事故，均由卖方负全部责任和承担全部经济损失及费用。</w:t>
      </w:r>
    </w:p>
    <w:p w14:paraId="4A857B25">
      <w:pPr>
        <w:spacing w:line="440" w:lineRule="exact"/>
        <w:ind w:firstLine="480" w:firstLineChars="200"/>
        <w:contextualSpacing/>
        <w:jc w:val="left"/>
        <w:rPr>
          <w:rFonts w:hint="eastAsia" w:ascii="宋体" w:hAnsi="宋体" w:cs="宋体"/>
          <w:sz w:val="24"/>
          <w:highlight w:val="none"/>
        </w:rPr>
      </w:pPr>
      <w:r>
        <w:rPr>
          <w:rFonts w:hint="eastAsia" w:ascii="宋体" w:hAnsi="宋体" w:cs="宋体"/>
          <w:sz w:val="24"/>
          <w:highlight w:val="none"/>
        </w:rPr>
        <w:t>施工现场应保证施工场地整洁、卫生，施工人员进入施工场地必须佩戴安全帽，施工现场及周边达到启东市创文创卫要求，否则视情况罚款5000-10000元。</w:t>
      </w:r>
    </w:p>
    <w:p w14:paraId="08073242">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（七）</w:t>
      </w:r>
      <w:r>
        <w:rPr>
          <w:rFonts w:hint="eastAsia" w:ascii="宋体" w:hAnsi="宋体" w:cs="宋体"/>
          <w:sz w:val="24"/>
          <w:szCs w:val="24"/>
          <w:highlight w:val="none"/>
        </w:rPr>
        <w:t>其他要求按卖方投标文件承诺的条款执行。</w:t>
      </w:r>
    </w:p>
    <w:p w14:paraId="3DEF6B29">
      <w:pPr>
        <w:pStyle w:val="45"/>
        <w:spacing w:line="440" w:lineRule="exact"/>
        <w:jc w:val="left"/>
        <w:rPr>
          <w:rFonts w:hint="eastAsia" w:ascii="宋体" w:hAnsi="宋体" w:cs="宋体"/>
          <w:b/>
          <w:bCs/>
          <w:sz w:val="24"/>
          <w:szCs w:val="24"/>
          <w:highlight w:val="none"/>
        </w:rPr>
      </w:pPr>
      <w:r>
        <w:rPr>
          <w:rFonts w:hint="eastAsia" w:ascii="宋体" w:hAnsi="宋体" w:cs="宋体"/>
          <w:b/>
          <w:bCs/>
          <w:sz w:val="24"/>
          <w:szCs w:val="24"/>
          <w:highlight w:val="none"/>
        </w:rPr>
        <w:t>十三、税费：</w:t>
      </w:r>
    </w:p>
    <w:p w14:paraId="2868CCDB">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根据国家有关税务法律、法规和规定，卖方应该交纳的与本合同有关的所有税费均由卖方承担，税率为13%。</w:t>
      </w:r>
    </w:p>
    <w:p w14:paraId="353B5829">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本合同价格为含税价。卖方提供的所有货物、技术资料、技术服务、进口设备/部件等所有税费，已全部包含在合同价格内，由卖方承担。</w:t>
      </w:r>
    </w:p>
    <w:p w14:paraId="3A10E262">
      <w:pPr>
        <w:pStyle w:val="45"/>
        <w:spacing w:line="440" w:lineRule="exact"/>
        <w:jc w:val="left"/>
        <w:rPr>
          <w:rFonts w:hint="eastAsia" w:ascii="宋体" w:hAnsi="宋体" w:cs="宋体"/>
          <w:b/>
          <w:bCs/>
          <w:sz w:val="24"/>
          <w:szCs w:val="24"/>
          <w:highlight w:val="none"/>
        </w:rPr>
      </w:pPr>
      <w:r>
        <w:rPr>
          <w:rFonts w:hint="eastAsia" w:ascii="宋体" w:hAnsi="宋体" w:cs="宋体"/>
          <w:b/>
          <w:bCs/>
          <w:sz w:val="24"/>
          <w:szCs w:val="24"/>
          <w:highlight w:val="none"/>
        </w:rPr>
        <w:t>十四、违约责任：</w:t>
      </w:r>
    </w:p>
    <w:p w14:paraId="6A86FCFA">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合同一方不履行合同义务或者履行合同义务不符合约定的，应当承担继续履行、采取补救措施或者赔偿损失等违约责任。</w:t>
      </w:r>
    </w:p>
    <w:p w14:paraId="13037DED">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（一）本合同中关于卖方违约的具体责任如下：</w:t>
      </w:r>
    </w:p>
    <w:p w14:paraId="7FF344DC">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本合同约定卖方违约应承担的违约责任：卖方货物质量达不到约定质量标准的，必须重新供货，且所发生的一切费用均由卖方承担；卖方不能保质、保量的供货，对工程进度造成影响或造成施工返工的，卖方必须承担买方的损失和施工单位的返工费用，且买方有权选择是否另行购买，卖方必须承担买方因另行购买而发生的所有费用支出；以上违约费用买方有权在已付货款中直接扣除。同时买方保留对卖方追究由此而造成的一切经济损失的权利。</w:t>
      </w:r>
    </w:p>
    <w:p w14:paraId="46115AB9">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卖方逾期交货（包括整修、返工、补交或由买方提出更改、卖方承诺，但未在承诺的工期内完成、自控系统未能正常运行等）应向买方偿付违约金，每逾期1天，按合同总价0.5%偿付违约金，但违约金最高不超过合同总价的15%。如逾期时间超过两周仍未能交付约定货物，在不妨碍买方其他救济手段的情况下，买方可以向卖方发出书面违约通知从而全部或部分地终止合同，并向卖方索赔，买方发出的通知到达卖方时合同即告终止，卖方须在14天内对买方的索赔要求给予明确回复。</w:t>
      </w:r>
    </w:p>
    <w:p w14:paraId="1AB03B3F">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（二）不可抗力</w:t>
      </w:r>
    </w:p>
    <w:p w14:paraId="3F36E922">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不可抗力是指严重的自然灾害和灾难（如台风、洪水、地震、火灾和爆炸等）、战争（不论是否宣战）、叛乱、动乱等。合同中的任何一方，由于不可抗力事件而影响合同义务的执行时，则延迟履行合同义务的期限相当于不可抗力事件影响的时间，但是不能因为不可抗力的延迟而调整合同价格。</w:t>
      </w:r>
    </w:p>
    <w:p w14:paraId="2AD1DBF9">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受到不可抗力影响的一方应在不可抗力事故发生后，尽快将所发生的不可抗力事件的情况以传真通知另一方，并在三天内将有关当局出具的证明文件提交给另一方审阅确认，受影响的一方同时应尽量设法缩小这种影响和由此而引起的延误，一旦不可抗力的影响消除后应将此情况立即通知对方。</w:t>
      </w:r>
    </w:p>
    <w:p w14:paraId="6ED8E585">
      <w:pPr>
        <w:pStyle w:val="45"/>
        <w:spacing w:line="440" w:lineRule="exact"/>
        <w:jc w:val="left"/>
        <w:rPr>
          <w:rFonts w:hint="eastAsia" w:ascii="宋体" w:hAnsi="宋体" w:cs="宋体"/>
          <w:b/>
          <w:bCs/>
          <w:sz w:val="24"/>
          <w:szCs w:val="24"/>
          <w:highlight w:val="none"/>
        </w:rPr>
      </w:pPr>
      <w:r>
        <w:rPr>
          <w:rFonts w:hint="eastAsia" w:ascii="宋体" w:hAnsi="宋体" w:cs="宋体"/>
          <w:b/>
          <w:bCs/>
          <w:sz w:val="24"/>
          <w:szCs w:val="24"/>
          <w:highlight w:val="none"/>
        </w:rPr>
        <w:t>十五、索赔：</w:t>
      </w:r>
    </w:p>
    <w:p w14:paraId="12154E58">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（一）买方有权根据产品质量检验机构或其它有权部门出具的检验证书向卖方提出索赔。</w:t>
      </w:r>
    </w:p>
    <w:p w14:paraId="1C46FE79">
      <w:pPr>
        <w:pStyle w:val="45"/>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二）在合同供货期和质量保证期内如发生由于制造、运输、工艺或材料缺陷而造成的质量问题，卖方接到买方通知1小时内到达现场进行维修服务。如果卖方对买方提出的索赔负有责任，卖方应负责修理、更换或退货，并承担由此发生的一切损失和费用。如逾期不予答复和处理，则视为上述索赔已被接受，买方有权从合同价款中直接扣除该索赔金额。</w:t>
      </w:r>
    </w:p>
    <w:p w14:paraId="67999C23">
      <w:pPr>
        <w:pStyle w:val="45"/>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（三）在本合同执行过程中，如由于卖方原因造成买方人身伤害，或因卖方的故意行为或重大过失致使买方财产损失的，卖方应依法承担赔偿责任。合同履行过程中包括质保期内，如</w:t>
      </w:r>
      <w:r>
        <w:rPr>
          <w:rFonts w:hint="eastAsia" w:ascii="宋体" w:hAnsi="宋体" w:cs="宋体"/>
          <w:sz w:val="24"/>
          <w:szCs w:val="24"/>
          <w:highlight w:val="none"/>
          <w:lang w:eastAsia="zh-CN"/>
        </w:rPr>
        <w:t>卖方</w:t>
      </w:r>
      <w:r>
        <w:rPr>
          <w:rFonts w:hint="eastAsia" w:ascii="宋体" w:hAnsi="宋体" w:cs="宋体"/>
          <w:sz w:val="24"/>
          <w:szCs w:val="24"/>
          <w:highlight w:val="none"/>
        </w:rPr>
        <w:t>违约的，</w:t>
      </w:r>
      <w:r>
        <w:rPr>
          <w:rFonts w:hint="eastAsia" w:ascii="宋体" w:hAnsi="宋体" w:cs="宋体"/>
          <w:sz w:val="24"/>
          <w:szCs w:val="24"/>
          <w:highlight w:val="none"/>
          <w:lang w:eastAsia="zh-CN"/>
        </w:rPr>
        <w:t>买方</w:t>
      </w:r>
      <w:r>
        <w:rPr>
          <w:rFonts w:hint="eastAsia" w:ascii="宋体" w:hAnsi="宋体" w:cs="宋体"/>
          <w:sz w:val="24"/>
          <w:szCs w:val="24"/>
          <w:highlight w:val="none"/>
        </w:rPr>
        <w:t>有权在货款中直接扣除相应的款项。如货款不够支持本次损失费用，</w:t>
      </w:r>
      <w:r>
        <w:rPr>
          <w:rFonts w:hint="eastAsia" w:ascii="宋体" w:hAnsi="宋体" w:cs="宋体"/>
          <w:sz w:val="24"/>
          <w:szCs w:val="24"/>
          <w:highlight w:val="none"/>
          <w:lang w:eastAsia="zh-CN"/>
        </w:rPr>
        <w:t>买</w:t>
      </w:r>
      <w:r>
        <w:rPr>
          <w:rFonts w:hint="eastAsia" w:ascii="宋体" w:hAnsi="宋体" w:cs="宋体"/>
          <w:sz w:val="24"/>
          <w:szCs w:val="24"/>
          <w:highlight w:val="none"/>
        </w:rPr>
        <w:t>方有权向</w:t>
      </w:r>
      <w:r>
        <w:rPr>
          <w:rFonts w:hint="eastAsia" w:ascii="宋体" w:hAnsi="宋体" w:cs="宋体"/>
          <w:sz w:val="24"/>
          <w:szCs w:val="24"/>
          <w:highlight w:val="none"/>
          <w:lang w:eastAsia="zh-CN"/>
        </w:rPr>
        <w:t>卖方</w:t>
      </w:r>
      <w:r>
        <w:rPr>
          <w:rFonts w:hint="eastAsia" w:ascii="宋体" w:hAnsi="宋体" w:cs="宋体"/>
          <w:sz w:val="24"/>
          <w:szCs w:val="24"/>
          <w:highlight w:val="none"/>
        </w:rPr>
        <w:t>索赔，且视质量、安装、调试、抢修、维护保养服务等过程中引起出现问题，造成的严重负面影响的将列入黑名单，不得再参与启东水司的采购项目。</w:t>
      </w:r>
    </w:p>
    <w:p w14:paraId="6B9CE424">
      <w:pPr>
        <w:pStyle w:val="45"/>
        <w:spacing w:line="440" w:lineRule="exact"/>
        <w:jc w:val="left"/>
        <w:rPr>
          <w:rFonts w:hint="eastAsia" w:ascii="宋体" w:hAnsi="宋体" w:cs="宋体"/>
          <w:b/>
          <w:bCs/>
          <w:sz w:val="24"/>
          <w:szCs w:val="24"/>
          <w:highlight w:val="none"/>
        </w:rPr>
      </w:pPr>
      <w:r>
        <w:rPr>
          <w:rFonts w:hint="eastAsia" w:ascii="宋体" w:hAnsi="宋体" w:cs="宋体"/>
          <w:b/>
          <w:bCs/>
          <w:sz w:val="24"/>
          <w:szCs w:val="24"/>
          <w:highlight w:val="none"/>
        </w:rPr>
        <w:t>十六、合同生效及其它：</w:t>
      </w:r>
    </w:p>
    <w:p w14:paraId="1A3ACBB0">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本合同经双方法定代表人/负责人或其委托代理人签字并加盖公章（或合同章）后即生效。</w:t>
      </w:r>
    </w:p>
    <w:p w14:paraId="16670A91">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本合同签订后双方即直接产生权利与义务的关系，合同执行过程中出现的问题应按照《中华人民共和国民法典》的规定办理。在合同履行过程中，双方如有争议协商解决；经协商无效时，任何一方可向工程所在地人民法院提起诉讼。</w:t>
      </w:r>
    </w:p>
    <w:p w14:paraId="61BBB5A1">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（三）</w:t>
      </w:r>
      <w:r>
        <w:rPr>
          <w:rFonts w:hint="eastAsia" w:ascii="宋体" w:hAnsi="宋体" w:cs="宋体"/>
          <w:sz w:val="24"/>
          <w:szCs w:val="24"/>
          <w:highlight w:val="none"/>
        </w:rPr>
        <w:t>本合同中未描述和涵盖的合同条款，按照招标文件、补充通知和投标文件等资料的相关条款执行，其中与本合同条款有冲突的内容，以本合同条款为准。</w:t>
      </w:r>
    </w:p>
    <w:p w14:paraId="5EA55117">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（四）</w:t>
      </w:r>
      <w:r>
        <w:rPr>
          <w:rFonts w:hint="eastAsia" w:ascii="宋体" w:hAnsi="宋体" w:cs="宋体"/>
          <w:sz w:val="24"/>
          <w:szCs w:val="24"/>
          <w:highlight w:val="none"/>
        </w:rPr>
        <w:t>本合同在执行过程中出现的未尽事宜，双方在不违背本合同和招投标文件的原则下协商解决，协商结果以书面形式盖章记录在案，作为本合同的附件，与本合同具有同等效力。</w:t>
      </w:r>
    </w:p>
    <w:p w14:paraId="531CC9F7">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（五）</w:t>
      </w:r>
      <w:r>
        <w:rPr>
          <w:rFonts w:hint="eastAsia" w:ascii="宋体" w:hAnsi="宋体" w:cs="宋体"/>
          <w:sz w:val="24"/>
          <w:szCs w:val="24"/>
          <w:highlight w:val="none"/>
        </w:rPr>
        <w:t>本合同一式陆份，买方执叁份，卖方叁份。</w:t>
      </w:r>
    </w:p>
    <w:p w14:paraId="4053F073">
      <w:pPr>
        <w:pStyle w:val="45"/>
        <w:spacing w:line="440" w:lineRule="exact"/>
        <w:ind w:firstLine="480" w:firstLineChars="200"/>
        <w:jc w:val="left"/>
        <w:rPr>
          <w:rFonts w:hint="eastAsia" w:ascii="宋体" w:hAnsi="宋体" w:cs="宋体"/>
          <w:sz w:val="24"/>
          <w:szCs w:val="24"/>
          <w:highlight w:val="none"/>
        </w:rPr>
      </w:pPr>
    </w:p>
    <w:p w14:paraId="1C97E57B">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买方： ( 公章）                          卖方： ( 公章） </w:t>
      </w:r>
    </w:p>
    <w:p w14:paraId="4D0286AC">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法定代表人或委托代理人：                  法定代表人或委托代理人：</w:t>
      </w:r>
    </w:p>
    <w:p w14:paraId="7F90B85E">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电话：                                   电话： </w:t>
      </w:r>
    </w:p>
    <w:p w14:paraId="457BF625">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地址：                                   地址：</w:t>
      </w:r>
    </w:p>
    <w:p w14:paraId="37CC5D47">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开户银行：                               开户银行：</w:t>
      </w:r>
    </w:p>
    <w:p w14:paraId="1B42FF27">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账号：                                   账号：</w:t>
      </w:r>
    </w:p>
    <w:p w14:paraId="447723E5">
      <w:pPr>
        <w:pStyle w:val="45"/>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合同签订日期：   年   月   日</w:t>
      </w:r>
    </w:p>
    <w:p w14:paraId="51CEED1A">
      <w:pPr>
        <w:rPr>
          <w:rFonts w:hint="eastAsia" w:ascii="宋体" w:hAnsi="宋体" w:eastAsia="宋体" w:cs="宋体"/>
          <w:color w:val="auto"/>
          <w:sz w:val="28"/>
          <w:szCs w:val="28"/>
          <w:highlight w:val="none"/>
        </w:rPr>
      </w:pPr>
    </w:p>
    <w:p w14:paraId="40FDCC41">
      <w:pPr>
        <w:rPr>
          <w:rFonts w:hint="eastAsia" w:ascii="宋体" w:hAnsi="宋体" w:eastAsia="宋体" w:cs="宋体"/>
          <w:color w:val="auto"/>
          <w:kern w:val="0"/>
          <w:sz w:val="28"/>
          <w:szCs w:val="28"/>
          <w:highlight w:val="none"/>
        </w:rPr>
      </w:pPr>
    </w:p>
    <w:p w14:paraId="46CC91A7">
      <w:pPr>
        <w:rPr>
          <w:rFonts w:hint="eastAsia" w:ascii="宋体" w:hAnsi="宋体" w:eastAsia="宋体" w:cs="宋体"/>
          <w:color w:val="auto"/>
          <w:kern w:val="0"/>
          <w:sz w:val="28"/>
          <w:szCs w:val="28"/>
          <w:highlight w:val="none"/>
        </w:rPr>
      </w:pPr>
    </w:p>
    <w:p w14:paraId="5737FFC9">
      <w:pPr>
        <w:rPr>
          <w:rFonts w:hint="eastAsia" w:ascii="宋体" w:hAnsi="宋体" w:eastAsia="宋体" w:cs="宋体"/>
          <w:color w:val="auto"/>
          <w:kern w:val="0"/>
          <w:sz w:val="28"/>
          <w:szCs w:val="28"/>
          <w:highlight w:val="none"/>
        </w:rPr>
      </w:pPr>
    </w:p>
    <w:p w14:paraId="36710E1D">
      <w:pPr>
        <w:pStyle w:val="4"/>
        <w:widowControl/>
        <w:adjustRightInd w:val="0"/>
        <w:snapToGrid w:val="0"/>
        <w:spacing w:before="0" w:after="0" w:line="500" w:lineRule="exact"/>
        <w:jc w:val="center"/>
        <w:rPr>
          <w:rFonts w:hint="eastAsia" w:ascii="宋体" w:hAnsi="宋体" w:eastAsia="宋体" w:cs="宋体"/>
          <w:b w:val="0"/>
          <w:color w:val="auto"/>
          <w:highlight w:val="none"/>
        </w:rPr>
      </w:pPr>
      <w:r>
        <w:rPr>
          <w:rFonts w:hint="eastAsia" w:ascii="宋体" w:hAnsi="宋体" w:eastAsia="宋体" w:cs="宋体"/>
          <w:b w:val="0"/>
          <w:color w:val="auto"/>
          <w:sz w:val="36"/>
          <w:szCs w:val="36"/>
          <w:highlight w:val="none"/>
        </w:rPr>
        <w:t>第四部分  响应文件</w:t>
      </w:r>
      <w:bookmarkEnd w:id="52"/>
      <w:bookmarkEnd w:id="53"/>
      <w:r>
        <w:rPr>
          <w:rFonts w:hint="eastAsia" w:ascii="宋体" w:hAnsi="宋体" w:eastAsia="宋体" w:cs="宋体"/>
          <w:b w:val="0"/>
          <w:color w:val="auto"/>
          <w:sz w:val="36"/>
          <w:szCs w:val="36"/>
          <w:highlight w:val="none"/>
        </w:rPr>
        <w:t>格式</w:t>
      </w:r>
    </w:p>
    <w:p w14:paraId="7FE4B086">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jc w:val="left"/>
        <w:textAlignment w:val="auto"/>
        <w:rPr>
          <w:rFonts w:hint="eastAsia" w:ascii="宋体" w:hAnsi="宋体" w:eastAsia="宋体" w:cs="宋体"/>
          <w:b/>
          <w:bCs/>
          <w:color w:val="auto"/>
          <w:sz w:val="28"/>
          <w:szCs w:val="28"/>
          <w:highlight w:val="none"/>
        </w:rPr>
      </w:pPr>
      <w:r>
        <w:rPr>
          <w:rFonts w:ascii="宋体" w:hAnsi="宋体" w:eastAsia="宋体" w:cs="宋体"/>
          <w:b/>
          <w:bCs/>
          <w:color w:val="auto"/>
          <w:spacing w:val="0"/>
          <w:sz w:val="28"/>
          <w:szCs w:val="28"/>
          <w:highlight w:val="none"/>
        </w:rPr>
        <w:t>响应文件</w:t>
      </w:r>
      <w:r>
        <w:rPr>
          <w:rFonts w:hint="eastAsia" w:ascii="宋体" w:hAnsi="宋体" w:eastAsia="宋体" w:cs="宋体"/>
          <w:b/>
          <w:bCs/>
          <w:color w:val="auto"/>
          <w:spacing w:val="0"/>
          <w:sz w:val="28"/>
          <w:szCs w:val="28"/>
          <w:highlight w:val="none"/>
        </w:rPr>
        <w:t>响应文件由资格审查证明材料、价格标、两部分组成。</w:t>
      </w:r>
      <w:r>
        <w:rPr>
          <w:rFonts w:hint="eastAsia" w:ascii="宋体" w:hAnsi="宋体" w:eastAsia="宋体" w:cs="宋体"/>
          <w:b/>
          <w:bCs/>
          <w:color w:val="auto"/>
          <w:spacing w:val="0"/>
          <w:sz w:val="28"/>
          <w:szCs w:val="28"/>
          <w:highlight w:val="none"/>
          <w:lang w:val="en-US" w:eastAsia="zh-CN"/>
        </w:rPr>
        <w:t>请投标人</w:t>
      </w:r>
      <w:r>
        <w:rPr>
          <w:rFonts w:ascii="宋体" w:hAnsi="宋体" w:eastAsia="宋体" w:cs="宋体"/>
          <w:b/>
          <w:bCs/>
          <w:color w:val="auto"/>
          <w:spacing w:val="0"/>
          <w:sz w:val="28"/>
          <w:szCs w:val="28"/>
          <w:highlight w:val="none"/>
        </w:rPr>
        <w:t>按照以下格式及要求进行制作、签署、密封和提交。</w:t>
      </w:r>
      <w:r>
        <w:rPr>
          <w:rFonts w:hint="eastAsia" w:ascii="宋体" w:hAnsi="宋体" w:eastAsia="宋体" w:cs="宋体"/>
          <w:b/>
          <w:bCs/>
          <w:color w:val="auto"/>
          <w:sz w:val="28"/>
          <w:szCs w:val="28"/>
          <w:highlight w:val="none"/>
        </w:rPr>
        <w:t>（以下内容必须全部提供，</w:t>
      </w:r>
      <w:r>
        <w:rPr>
          <w:rFonts w:hint="eastAsia" w:ascii="宋体" w:hAnsi="宋体" w:eastAsia="宋体" w:cs="宋体"/>
          <w:b/>
          <w:bCs/>
          <w:color w:val="auto"/>
          <w:sz w:val="28"/>
          <w:szCs w:val="28"/>
          <w:highlight w:val="none"/>
          <w:lang w:val="zh-CN"/>
        </w:rPr>
        <w:t>并全部加盖</w:t>
      </w:r>
      <w:r>
        <w:rPr>
          <w:rFonts w:hint="eastAsia" w:ascii="宋体" w:hAnsi="宋体" w:eastAsia="宋体" w:cs="宋体"/>
          <w:b/>
          <w:bCs/>
          <w:color w:val="auto"/>
          <w:sz w:val="28"/>
          <w:szCs w:val="28"/>
          <w:highlight w:val="none"/>
          <w:lang w:val="en-US" w:eastAsia="zh-CN"/>
        </w:rPr>
        <w:t>报价单位公章</w:t>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rPr>
        <w:t>响应文件格式中要求签字的不可打印填写，否则视为无效响应。）</w:t>
      </w:r>
    </w:p>
    <w:p w14:paraId="7BF1C729">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Theme="minorEastAsia" w:hAnsiTheme="minorEastAsia" w:eastAsiaTheme="minorEastAsia"/>
          <w:b/>
          <w:bCs/>
          <w:color w:val="auto"/>
          <w:kern w:val="0"/>
          <w:sz w:val="28"/>
          <w:szCs w:val="28"/>
          <w:highlight w:val="none"/>
        </w:rPr>
      </w:pPr>
      <w:r>
        <w:rPr>
          <w:rFonts w:hint="eastAsia" w:asciiTheme="minorEastAsia" w:hAnsiTheme="minorEastAsia" w:eastAsiaTheme="minorEastAsia"/>
          <w:b/>
          <w:bCs/>
          <w:color w:val="auto"/>
          <w:kern w:val="0"/>
          <w:sz w:val="28"/>
          <w:szCs w:val="28"/>
          <w:highlight w:val="none"/>
        </w:rPr>
        <w:t>一、资格审查证明材料（不能出现价格标）</w:t>
      </w:r>
    </w:p>
    <w:p w14:paraId="090D019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1.投标人符合</w:t>
      </w:r>
      <w:r>
        <w:rPr>
          <w:rFonts w:hint="eastAsia" w:ascii="宋体" w:hAnsi="宋体" w:eastAsia="宋体" w:cs="宋体"/>
          <w:color w:val="auto"/>
          <w:spacing w:val="0"/>
          <w:sz w:val="28"/>
          <w:szCs w:val="28"/>
          <w:highlight w:val="none"/>
          <w:lang w:eastAsia="zh-CN"/>
        </w:rPr>
        <w:t>《中华人民共和国政府采购法》</w:t>
      </w:r>
      <w:r>
        <w:rPr>
          <w:rFonts w:ascii="宋体" w:hAnsi="宋体" w:eastAsia="宋体" w:cs="宋体"/>
          <w:color w:val="auto"/>
          <w:spacing w:val="0"/>
          <w:sz w:val="28"/>
          <w:szCs w:val="28"/>
          <w:highlight w:val="none"/>
        </w:rPr>
        <w:t>第二十二条规定条件的声明函（格式见附件 1）（如分公司参加投标的，另需提供总公司的授权证明）；</w:t>
      </w:r>
    </w:p>
    <w:p w14:paraId="020E05A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2.法定代表人身份证明书、法定代表人身份证</w:t>
      </w:r>
      <w:r>
        <w:rPr>
          <w:rFonts w:hint="eastAsia" w:ascii="宋体" w:hAnsi="宋体" w:eastAsia="宋体" w:cs="宋体"/>
          <w:color w:val="auto"/>
          <w:spacing w:val="0"/>
          <w:sz w:val="28"/>
          <w:szCs w:val="28"/>
          <w:highlight w:val="none"/>
          <w:lang w:val="en-US" w:eastAsia="zh-CN"/>
        </w:rPr>
        <w:t>正反面</w:t>
      </w:r>
      <w:r>
        <w:rPr>
          <w:rFonts w:ascii="宋体" w:hAnsi="宋体" w:eastAsia="宋体" w:cs="宋体"/>
          <w:color w:val="auto"/>
          <w:spacing w:val="0"/>
          <w:sz w:val="28"/>
          <w:szCs w:val="28"/>
          <w:highlight w:val="none"/>
        </w:rPr>
        <w:t>复印件（格式见附件 2）；</w:t>
      </w:r>
    </w:p>
    <w:p w14:paraId="416D222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3.法定代表人授权委托书、授权委托人（即代理人）身份证</w:t>
      </w:r>
      <w:r>
        <w:rPr>
          <w:rFonts w:hint="eastAsia" w:ascii="宋体" w:hAnsi="宋体" w:eastAsia="宋体" w:cs="宋体"/>
          <w:color w:val="auto"/>
          <w:spacing w:val="0"/>
          <w:sz w:val="28"/>
          <w:szCs w:val="28"/>
          <w:highlight w:val="none"/>
          <w:lang w:val="en-US" w:eastAsia="zh-CN"/>
        </w:rPr>
        <w:t>正反面</w:t>
      </w:r>
      <w:r>
        <w:rPr>
          <w:rFonts w:ascii="宋体" w:hAnsi="宋体" w:eastAsia="宋体" w:cs="宋体"/>
          <w:color w:val="auto"/>
          <w:spacing w:val="0"/>
          <w:sz w:val="28"/>
          <w:szCs w:val="28"/>
          <w:highlight w:val="none"/>
        </w:rPr>
        <w:t>复印件（格式见附件 3，法定代表人参加的，无需提供授权委托书）；</w:t>
      </w:r>
    </w:p>
    <w:p w14:paraId="2B8649E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w:t>
      </w:r>
      <w:r>
        <w:rPr>
          <w:rFonts w:hint="eastAsia" w:ascii="宋体" w:hAnsi="宋体" w:eastAsia="宋体" w:cs="宋体"/>
          <w:color w:val="auto"/>
          <w:spacing w:val="0"/>
          <w:position w:val="0"/>
          <w:sz w:val="28"/>
          <w:szCs w:val="28"/>
          <w:highlight w:val="none"/>
          <w:lang w:val="en-US" w:eastAsia="zh-CN"/>
        </w:rPr>
        <w:t>供应商提供</w:t>
      </w:r>
      <w:r>
        <w:rPr>
          <w:rFonts w:ascii="宋体" w:hAnsi="宋体" w:eastAsia="宋体" w:cs="宋体"/>
          <w:color w:val="auto"/>
          <w:spacing w:val="0"/>
          <w:sz w:val="28"/>
          <w:szCs w:val="28"/>
          <w:highlight w:val="none"/>
        </w:rPr>
        <w:t>有效的营业执照复印件；</w:t>
      </w:r>
    </w:p>
    <w:p w14:paraId="3AF7910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6"/>
          <w:position w:val="0"/>
          <w:sz w:val="28"/>
          <w:szCs w:val="28"/>
          <w:highlight w:val="none"/>
        </w:rPr>
      </w:pPr>
      <w:r>
        <w:rPr>
          <w:rFonts w:ascii="宋体" w:hAnsi="宋体" w:eastAsia="宋体" w:cs="宋体"/>
          <w:color w:val="auto"/>
          <w:spacing w:val="0"/>
          <w:sz w:val="28"/>
          <w:szCs w:val="28"/>
          <w:highlight w:val="none"/>
        </w:rPr>
        <w:t>5.</w:t>
      </w:r>
      <w:r>
        <w:rPr>
          <w:rFonts w:hint="eastAsia" w:ascii="宋体" w:hAnsi="宋体" w:eastAsia="宋体" w:cs="宋体"/>
          <w:color w:val="auto"/>
          <w:spacing w:val="0"/>
          <w:sz w:val="28"/>
          <w:szCs w:val="28"/>
          <w:highlight w:val="none"/>
          <w:lang w:val="en-US" w:eastAsia="zh-CN"/>
        </w:rPr>
        <w:t>未被</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信用中国</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网站列入失信被执行人、重大税收违法案件当事人名单、政府采购严重违法失信行为记录名单</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b/>
          <w:bCs/>
          <w:color w:val="auto"/>
          <w:spacing w:val="0"/>
          <w:sz w:val="28"/>
          <w:szCs w:val="28"/>
          <w:highlight w:val="none"/>
          <w:lang w:val="en-US" w:eastAsia="zh-CN"/>
        </w:rPr>
        <w:t>提供网页截图</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p>
    <w:p w14:paraId="33B892C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zh-CN" w:eastAsia="zh-CN"/>
        </w:rPr>
      </w:pPr>
      <w:r>
        <w:rPr>
          <w:rFonts w:hint="eastAsia" w:ascii="宋体" w:hAnsi="宋体" w:eastAsia="宋体" w:cs="宋体"/>
          <w:color w:val="auto"/>
          <w:spacing w:val="0"/>
          <w:sz w:val="28"/>
          <w:szCs w:val="28"/>
          <w:highlight w:val="none"/>
          <w:lang w:val="en-US" w:eastAsia="zh-CN"/>
        </w:rPr>
        <w:t>6.</w:t>
      </w:r>
      <w:r>
        <w:rPr>
          <w:rFonts w:hint="eastAsia" w:ascii="宋体" w:hAnsi="宋体" w:eastAsia="宋体" w:cs="宋体"/>
          <w:color w:val="auto"/>
          <w:spacing w:val="0"/>
          <w:sz w:val="28"/>
          <w:szCs w:val="28"/>
          <w:highlight w:val="none"/>
          <w:lang w:val="zh-CN" w:eastAsia="zh-CN"/>
        </w:rPr>
        <w:t>质保承诺书（格式见附件4）；</w:t>
      </w:r>
    </w:p>
    <w:p w14:paraId="4A787A4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zh-CN" w:eastAsia="zh-CN"/>
        </w:rPr>
      </w:pPr>
      <w:r>
        <w:rPr>
          <w:rFonts w:hint="eastAsia" w:ascii="宋体" w:hAnsi="宋体" w:eastAsia="宋体" w:cs="宋体"/>
          <w:color w:val="auto"/>
          <w:spacing w:val="0"/>
          <w:sz w:val="28"/>
          <w:szCs w:val="28"/>
          <w:highlight w:val="none"/>
          <w:lang w:val="en-US" w:eastAsia="zh-CN"/>
        </w:rPr>
        <w:t>7</w:t>
      </w:r>
      <w:r>
        <w:rPr>
          <w:rFonts w:hint="eastAsia" w:ascii="宋体" w:hAnsi="宋体" w:eastAsia="宋体" w:cs="宋体"/>
          <w:color w:val="auto"/>
          <w:spacing w:val="0"/>
          <w:sz w:val="28"/>
          <w:szCs w:val="28"/>
          <w:highlight w:val="none"/>
          <w:lang w:val="zh-CN" w:eastAsia="zh-CN"/>
        </w:rPr>
        <w:t>.</w:t>
      </w:r>
      <w:r>
        <w:rPr>
          <w:rFonts w:hint="eastAsia" w:ascii="宋体" w:hAnsi="宋体" w:eastAsia="宋体" w:cs="宋体"/>
          <w:color w:val="auto"/>
          <w:spacing w:val="0"/>
          <w:position w:val="0"/>
          <w:sz w:val="28"/>
          <w:szCs w:val="28"/>
          <w:highlight w:val="none"/>
          <w:lang w:val="en-US" w:eastAsia="zh-CN"/>
        </w:rPr>
        <w:t>所投产品</w:t>
      </w:r>
      <w:r>
        <w:rPr>
          <w:rFonts w:hint="eastAsia" w:ascii="宋体" w:hAnsi="宋体" w:cs="宋体"/>
          <w:color w:val="auto"/>
          <w:spacing w:val="0"/>
          <w:position w:val="0"/>
          <w:sz w:val="28"/>
          <w:szCs w:val="28"/>
          <w:highlight w:val="none"/>
          <w:lang w:val="en-US" w:eastAsia="zh-CN"/>
        </w:rPr>
        <w:t>的</w:t>
      </w:r>
      <w:r>
        <w:rPr>
          <w:rFonts w:hint="eastAsia" w:ascii="宋体" w:hAnsi="宋体" w:eastAsia="宋体" w:cs="宋体"/>
          <w:color w:val="auto"/>
          <w:spacing w:val="0"/>
          <w:sz w:val="28"/>
          <w:szCs w:val="28"/>
          <w:highlight w:val="none"/>
          <w:lang w:val="zh-CN" w:eastAsia="zh-CN"/>
        </w:rPr>
        <w:t>无负压设备的《涉及饮用水卫生安全产品卫生许可批件》</w:t>
      </w:r>
      <w:r>
        <w:rPr>
          <w:rFonts w:hint="eastAsia" w:ascii="宋体" w:hAnsi="宋体" w:eastAsia="宋体" w:cs="宋体"/>
          <w:color w:val="auto"/>
          <w:spacing w:val="0"/>
          <w:sz w:val="28"/>
          <w:szCs w:val="28"/>
          <w:highlight w:val="none"/>
          <w:lang w:val="en-US" w:eastAsia="zh-CN"/>
        </w:rPr>
        <w:t>复印件</w:t>
      </w:r>
      <w:r>
        <w:rPr>
          <w:rFonts w:hint="eastAsia" w:ascii="宋体" w:hAnsi="宋体" w:eastAsia="宋体" w:cs="宋体"/>
          <w:color w:val="auto"/>
          <w:spacing w:val="0"/>
          <w:sz w:val="28"/>
          <w:szCs w:val="28"/>
          <w:highlight w:val="none"/>
          <w:lang w:val="zh-CN" w:eastAsia="zh-CN"/>
        </w:rPr>
        <w:t>加盖</w:t>
      </w:r>
      <w:r>
        <w:rPr>
          <w:rFonts w:hint="eastAsia" w:ascii="宋体" w:hAnsi="宋体" w:cs="宋体"/>
          <w:color w:val="auto"/>
          <w:spacing w:val="0"/>
          <w:sz w:val="28"/>
          <w:szCs w:val="28"/>
          <w:highlight w:val="none"/>
          <w:lang w:val="en-US" w:eastAsia="zh-CN"/>
        </w:rPr>
        <w:t>单位</w:t>
      </w:r>
      <w:r>
        <w:rPr>
          <w:rFonts w:hint="eastAsia" w:ascii="宋体" w:hAnsi="宋体" w:eastAsia="宋体" w:cs="宋体"/>
          <w:color w:val="auto"/>
          <w:spacing w:val="0"/>
          <w:sz w:val="28"/>
          <w:szCs w:val="28"/>
          <w:highlight w:val="none"/>
          <w:lang w:val="zh-CN" w:eastAsia="zh-CN"/>
        </w:rPr>
        <w:t>公章。</w:t>
      </w:r>
    </w:p>
    <w:p w14:paraId="166B733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zh-CN" w:eastAsia="zh-CN"/>
        </w:rPr>
      </w:pPr>
      <w:r>
        <w:rPr>
          <w:rFonts w:hint="eastAsia" w:ascii="宋体" w:hAnsi="宋体" w:eastAsia="宋体" w:cs="宋体"/>
          <w:color w:val="auto"/>
          <w:spacing w:val="0"/>
          <w:sz w:val="28"/>
          <w:szCs w:val="28"/>
          <w:highlight w:val="none"/>
          <w:lang w:val="en-US" w:eastAsia="zh-CN"/>
        </w:rPr>
        <w:t>8.</w:t>
      </w:r>
      <w:r>
        <w:rPr>
          <w:rFonts w:hint="eastAsia" w:ascii="宋体" w:hAnsi="宋体" w:eastAsia="宋体" w:cs="宋体"/>
          <w:color w:val="auto"/>
          <w:spacing w:val="0"/>
          <w:sz w:val="28"/>
          <w:szCs w:val="28"/>
          <w:highlight w:val="none"/>
          <w:lang w:val="zh-CN" w:eastAsia="zh-CN"/>
        </w:rPr>
        <w:t>供应商有自202</w:t>
      </w:r>
      <w:r>
        <w:rPr>
          <w:rFonts w:hint="eastAsia" w:ascii="宋体" w:hAnsi="宋体" w:eastAsia="宋体" w:cs="宋体"/>
          <w:color w:val="auto"/>
          <w:spacing w:val="0"/>
          <w:sz w:val="28"/>
          <w:szCs w:val="28"/>
          <w:highlight w:val="none"/>
          <w:lang w:val="en-US" w:eastAsia="zh-CN"/>
        </w:rPr>
        <w:t>2</w:t>
      </w:r>
      <w:r>
        <w:rPr>
          <w:rFonts w:hint="eastAsia" w:ascii="宋体" w:hAnsi="宋体" w:eastAsia="宋体" w:cs="宋体"/>
          <w:color w:val="auto"/>
          <w:spacing w:val="0"/>
          <w:sz w:val="28"/>
          <w:szCs w:val="28"/>
          <w:highlight w:val="none"/>
          <w:lang w:val="zh-CN" w:eastAsia="zh-CN"/>
        </w:rPr>
        <w:t>年</w:t>
      </w:r>
      <w:r>
        <w:rPr>
          <w:rFonts w:hint="eastAsia" w:ascii="宋体" w:hAnsi="宋体" w:eastAsia="宋体" w:cs="宋体"/>
          <w:color w:val="auto"/>
          <w:spacing w:val="0"/>
          <w:sz w:val="28"/>
          <w:szCs w:val="28"/>
          <w:highlight w:val="none"/>
          <w:lang w:val="en-US" w:eastAsia="zh-CN"/>
        </w:rPr>
        <w:t>8</w:t>
      </w:r>
      <w:r>
        <w:rPr>
          <w:rFonts w:hint="eastAsia" w:ascii="宋体" w:hAnsi="宋体" w:eastAsia="宋体" w:cs="宋体"/>
          <w:color w:val="auto"/>
          <w:spacing w:val="0"/>
          <w:sz w:val="28"/>
          <w:szCs w:val="28"/>
          <w:highlight w:val="none"/>
          <w:lang w:val="zh-CN" w:eastAsia="zh-CN"/>
        </w:rPr>
        <w:t>月1日以来（以合同签订时间为准）有类似的供货业绩（提供相对应的合同</w:t>
      </w:r>
      <w:r>
        <w:rPr>
          <w:rFonts w:hint="eastAsia" w:ascii="宋体" w:hAnsi="宋体" w:eastAsia="宋体" w:cs="宋体"/>
          <w:color w:val="auto"/>
          <w:spacing w:val="0"/>
          <w:sz w:val="28"/>
          <w:szCs w:val="28"/>
          <w:highlight w:val="none"/>
          <w:lang w:val="en-US" w:eastAsia="zh-CN"/>
        </w:rPr>
        <w:t>复印</w:t>
      </w:r>
      <w:r>
        <w:rPr>
          <w:rFonts w:hint="eastAsia" w:ascii="宋体" w:hAnsi="宋体" w:eastAsia="宋体" w:cs="宋体"/>
          <w:color w:val="auto"/>
          <w:spacing w:val="0"/>
          <w:sz w:val="28"/>
          <w:szCs w:val="28"/>
          <w:highlight w:val="none"/>
          <w:lang w:val="zh-CN" w:eastAsia="zh-CN"/>
        </w:rPr>
        <w:t>件加盖</w:t>
      </w:r>
      <w:r>
        <w:rPr>
          <w:rFonts w:hint="eastAsia" w:ascii="宋体" w:hAnsi="宋体" w:cs="宋体"/>
          <w:color w:val="auto"/>
          <w:spacing w:val="0"/>
          <w:sz w:val="28"/>
          <w:szCs w:val="28"/>
          <w:highlight w:val="none"/>
          <w:lang w:val="en-US" w:eastAsia="zh-CN"/>
        </w:rPr>
        <w:t>单位</w:t>
      </w:r>
      <w:r>
        <w:rPr>
          <w:rFonts w:hint="eastAsia" w:ascii="宋体" w:hAnsi="宋体" w:eastAsia="宋体" w:cs="宋体"/>
          <w:color w:val="auto"/>
          <w:spacing w:val="0"/>
          <w:sz w:val="28"/>
          <w:szCs w:val="28"/>
          <w:highlight w:val="none"/>
          <w:lang w:val="zh-CN" w:eastAsia="zh-CN"/>
        </w:rPr>
        <w:t>公章）。</w:t>
      </w:r>
    </w:p>
    <w:p w14:paraId="7ECE927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zh-CN" w:eastAsia="zh-CN"/>
        </w:rPr>
      </w:pPr>
      <w:r>
        <w:rPr>
          <w:rFonts w:hint="eastAsia" w:ascii="宋体" w:hAnsi="宋体" w:eastAsia="宋体" w:cs="宋体"/>
          <w:color w:val="auto"/>
          <w:spacing w:val="0"/>
          <w:sz w:val="28"/>
          <w:szCs w:val="28"/>
          <w:highlight w:val="none"/>
          <w:lang w:val="en-US" w:eastAsia="zh-CN"/>
        </w:rPr>
        <w:t>9.</w:t>
      </w:r>
      <w:r>
        <w:rPr>
          <w:rFonts w:hint="eastAsia" w:ascii="宋体" w:hAnsi="宋体" w:eastAsia="宋体" w:cs="宋体"/>
          <w:color w:val="auto"/>
          <w:spacing w:val="0"/>
          <w:sz w:val="28"/>
          <w:szCs w:val="28"/>
          <w:highlight w:val="none"/>
          <w:lang w:val="zh-CN" w:eastAsia="zh-CN"/>
        </w:rPr>
        <w:t>报价货物采购要求响应表（格式见附件</w:t>
      </w:r>
      <w:r>
        <w:rPr>
          <w:rFonts w:hint="eastAsia" w:ascii="宋体" w:hAnsi="宋体" w:eastAsia="宋体" w:cs="宋体"/>
          <w:color w:val="auto"/>
          <w:spacing w:val="0"/>
          <w:sz w:val="28"/>
          <w:szCs w:val="28"/>
          <w:highlight w:val="none"/>
          <w:lang w:val="en-US" w:eastAsia="zh-CN"/>
        </w:rPr>
        <w:t>5</w:t>
      </w:r>
      <w:r>
        <w:rPr>
          <w:rFonts w:hint="eastAsia" w:ascii="宋体" w:hAnsi="宋体" w:eastAsia="宋体" w:cs="宋体"/>
          <w:color w:val="auto"/>
          <w:spacing w:val="0"/>
          <w:sz w:val="28"/>
          <w:szCs w:val="28"/>
          <w:highlight w:val="none"/>
          <w:lang w:val="zh-CN" w:eastAsia="zh-CN"/>
        </w:rPr>
        <w:t>）；</w:t>
      </w:r>
    </w:p>
    <w:p w14:paraId="663BBA2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s="宋体"/>
          <w:b/>
          <w:bCs/>
          <w:color w:val="auto"/>
          <w:spacing w:val="-6"/>
          <w:kern w:val="0"/>
          <w:sz w:val="28"/>
          <w:szCs w:val="28"/>
          <w:highlight w:val="none"/>
          <w:lang w:val="en-US" w:eastAsia="zh-CN" w:bidi="ar-SA"/>
        </w:rPr>
      </w:pPr>
      <w:r>
        <w:rPr>
          <w:rFonts w:hint="eastAsia" w:ascii="宋体" w:hAnsi="宋体" w:eastAsia="宋体" w:cs="宋体"/>
          <w:color w:val="auto"/>
          <w:spacing w:val="0"/>
          <w:sz w:val="28"/>
          <w:szCs w:val="28"/>
          <w:highlight w:val="none"/>
          <w:lang w:val="en-US" w:eastAsia="zh-CN"/>
        </w:rPr>
        <w:t>10</w:t>
      </w:r>
      <w:r>
        <w:rPr>
          <w:rFonts w:hint="eastAsia" w:ascii="宋体" w:hAnsi="宋体" w:eastAsia="宋体" w:cs="宋体"/>
          <w:color w:val="auto"/>
          <w:spacing w:val="0"/>
          <w:sz w:val="28"/>
          <w:szCs w:val="28"/>
          <w:highlight w:val="none"/>
          <w:lang w:val="zh-CN" w:eastAsia="zh-CN"/>
        </w:rPr>
        <w:t>.</w:t>
      </w:r>
      <w:r>
        <w:rPr>
          <w:rFonts w:hint="eastAsia" w:ascii="宋体" w:hAnsi="宋体" w:cs="宋体"/>
          <w:b/>
          <w:bCs/>
          <w:color w:val="auto"/>
          <w:spacing w:val="-6"/>
          <w:kern w:val="0"/>
          <w:sz w:val="28"/>
          <w:szCs w:val="28"/>
          <w:highlight w:val="none"/>
          <w:lang w:val="en-US" w:eastAsia="zh-CN" w:bidi="ar-SA"/>
        </w:rPr>
        <w:t>货物</w:t>
      </w:r>
      <w:r>
        <w:rPr>
          <w:rFonts w:hint="eastAsia" w:ascii="宋体" w:hAnsi="宋体" w:cs="宋体"/>
          <w:b/>
          <w:bCs/>
          <w:color w:val="auto"/>
          <w:spacing w:val="-6"/>
          <w:kern w:val="0"/>
          <w:sz w:val="28"/>
          <w:szCs w:val="28"/>
          <w:highlight w:val="none"/>
          <w:lang w:val="en-US" w:eastAsia="zh-CN" w:bidi="ar-SA"/>
        </w:rPr>
        <w:t>清单中</w:t>
      </w:r>
      <w:r>
        <w:rPr>
          <w:rFonts w:hint="eastAsia" w:ascii="宋体" w:hAnsi="宋体" w:eastAsia="宋体" w:cs="宋体"/>
          <w:b/>
          <w:bCs/>
          <w:color w:val="auto"/>
          <w:spacing w:val="-6"/>
          <w:kern w:val="0"/>
          <w:sz w:val="28"/>
          <w:szCs w:val="28"/>
          <w:highlight w:val="none"/>
          <w:lang w:val="en-US" w:eastAsia="zh-CN" w:bidi="ar-SA"/>
        </w:rPr>
        <w:t>给水增压设备</w:t>
      </w:r>
      <w:r>
        <w:rPr>
          <w:rFonts w:hint="eastAsia" w:ascii="宋体" w:hAnsi="宋体" w:cs="宋体"/>
          <w:b/>
          <w:bCs/>
          <w:color w:val="auto"/>
          <w:spacing w:val="-6"/>
          <w:kern w:val="0"/>
          <w:sz w:val="28"/>
          <w:szCs w:val="28"/>
          <w:highlight w:val="none"/>
          <w:lang w:val="en-US" w:eastAsia="zh-CN" w:bidi="ar-SA"/>
        </w:rPr>
        <w:t>的</w:t>
      </w:r>
      <w:r>
        <w:rPr>
          <w:rFonts w:hint="eastAsia" w:ascii="宋体" w:hAnsi="宋体" w:eastAsia="宋体" w:cs="宋体"/>
          <w:b/>
          <w:bCs/>
          <w:color w:val="auto"/>
          <w:spacing w:val="-6"/>
          <w:kern w:val="0"/>
          <w:sz w:val="28"/>
          <w:szCs w:val="28"/>
          <w:highlight w:val="none"/>
          <w:lang w:val="en-US" w:eastAsia="zh-CN" w:bidi="ar-SA"/>
        </w:rPr>
        <w:t>阀门采用投标商的自有品牌的，须提供</w:t>
      </w:r>
      <w:r>
        <w:rPr>
          <w:rFonts w:hint="eastAsia" w:ascii="宋体" w:hAnsi="宋体" w:eastAsia="宋体" w:cs="宋体"/>
          <w:b/>
          <w:bCs/>
          <w:color w:val="auto"/>
          <w:spacing w:val="-6"/>
          <w:kern w:val="0"/>
          <w:sz w:val="28"/>
          <w:szCs w:val="28"/>
          <w:highlight w:val="none"/>
          <w:lang w:val="zh-CN" w:eastAsia="zh-CN" w:bidi="ar-SA"/>
        </w:rPr>
        <w:t>检测报告</w:t>
      </w:r>
      <w:r>
        <w:rPr>
          <w:rFonts w:hint="eastAsia" w:ascii="宋体" w:hAnsi="宋体" w:cs="宋体"/>
          <w:b/>
          <w:bCs/>
          <w:color w:val="auto"/>
          <w:spacing w:val="-6"/>
          <w:kern w:val="0"/>
          <w:sz w:val="28"/>
          <w:szCs w:val="28"/>
          <w:highlight w:val="none"/>
          <w:lang w:val="en-US" w:eastAsia="zh-CN" w:bidi="ar-SA"/>
        </w:rPr>
        <w:t>复印件</w:t>
      </w:r>
      <w:r>
        <w:rPr>
          <w:rFonts w:hint="eastAsia" w:ascii="宋体" w:hAnsi="宋体" w:eastAsia="宋体" w:cs="宋体"/>
          <w:b/>
          <w:bCs/>
          <w:color w:val="auto"/>
          <w:spacing w:val="-6"/>
          <w:kern w:val="0"/>
          <w:sz w:val="28"/>
          <w:szCs w:val="28"/>
          <w:highlight w:val="none"/>
          <w:lang w:val="en-US" w:eastAsia="zh-CN" w:bidi="ar-SA"/>
        </w:rPr>
        <w:t>并加盖单位公章</w:t>
      </w:r>
      <w:r>
        <w:rPr>
          <w:rFonts w:hint="eastAsia" w:ascii="宋体" w:hAnsi="宋体" w:cs="宋体"/>
          <w:b/>
          <w:bCs/>
          <w:color w:val="auto"/>
          <w:spacing w:val="-6"/>
          <w:kern w:val="0"/>
          <w:sz w:val="28"/>
          <w:szCs w:val="28"/>
          <w:highlight w:val="none"/>
          <w:lang w:val="en-US" w:eastAsia="zh-CN" w:bidi="ar-SA"/>
        </w:rPr>
        <w:t>（如有）；</w:t>
      </w:r>
    </w:p>
    <w:p w14:paraId="5F51126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zh-CN" w:eastAsia="zh-CN"/>
        </w:rPr>
      </w:pPr>
      <w:r>
        <w:rPr>
          <w:rFonts w:hint="eastAsia" w:ascii="宋体" w:hAnsi="宋体" w:cs="宋体"/>
          <w:color w:val="auto"/>
          <w:spacing w:val="0"/>
          <w:sz w:val="28"/>
          <w:szCs w:val="28"/>
          <w:highlight w:val="none"/>
          <w:lang w:val="en-US" w:eastAsia="zh-CN"/>
        </w:rPr>
        <w:t>11.</w:t>
      </w:r>
      <w:r>
        <w:rPr>
          <w:rFonts w:hint="eastAsia" w:ascii="宋体" w:hAnsi="宋体" w:eastAsia="宋体" w:cs="宋体"/>
          <w:color w:val="auto"/>
          <w:spacing w:val="0"/>
          <w:sz w:val="28"/>
          <w:szCs w:val="28"/>
          <w:highlight w:val="none"/>
          <w:lang w:val="zh-CN" w:eastAsia="zh-CN"/>
        </w:rPr>
        <w:t>其它需要提交的资格审查证明材料。</w:t>
      </w:r>
      <w:bookmarkStart w:id="54" w:name="_GoBack"/>
      <w:bookmarkEnd w:id="54"/>
    </w:p>
    <w:p w14:paraId="0C3D057E">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Theme="minorEastAsia" w:hAnsiTheme="minorEastAsia" w:eastAsiaTheme="minorEastAsia"/>
          <w:b/>
          <w:bCs/>
          <w:color w:val="auto"/>
          <w:kern w:val="0"/>
          <w:sz w:val="28"/>
          <w:szCs w:val="28"/>
          <w:highlight w:val="none"/>
        </w:rPr>
      </w:pPr>
      <w:r>
        <w:rPr>
          <w:rFonts w:hint="eastAsia" w:asciiTheme="minorEastAsia" w:hAnsiTheme="minorEastAsia" w:eastAsiaTheme="minorEastAsia"/>
          <w:b/>
          <w:bCs/>
          <w:color w:val="auto"/>
          <w:kern w:val="0"/>
          <w:sz w:val="28"/>
          <w:szCs w:val="28"/>
          <w:highlight w:val="none"/>
        </w:rPr>
        <w:t>二、价格标</w:t>
      </w:r>
    </w:p>
    <w:p w14:paraId="6252DBDE">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Theme="minorEastAsia" w:hAnsiTheme="minorEastAsia" w:eastAsiaTheme="minorEastAsia"/>
          <w:color w:val="auto"/>
          <w:kern w:val="0"/>
          <w:sz w:val="28"/>
          <w:szCs w:val="28"/>
          <w:highlight w:val="none"/>
          <w:lang w:val="zh-CN"/>
        </w:rPr>
      </w:pPr>
      <w:r>
        <w:rPr>
          <w:rFonts w:hint="eastAsia" w:asciiTheme="minorEastAsia" w:hAnsiTheme="minorEastAsia" w:eastAsiaTheme="minorEastAsia"/>
          <w:color w:val="auto"/>
          <w:kern w:val="0"/>
          <w:sz w:val="28"/>
          <w:szCs w:val="28"/>
          <w:highlight w:val="none"/>
          <w:lang w:val="zh-CN"/>
        </w:rPr>
        <w:t>1.报价表（格式见附件</w:t>
      </w:r>
      <w:r>
        <w:rPr>
          <w:rFonts w:hint="eastAsia" w:asciiTheme="minorEastAsia" w:hAnsiTheme="minorEastAsia" w:eastAsiaTheme="minorEastAsia"/>
          <w:color w:val="auto"/>
          <w:kern w:val="0"/>
          <w:sz w:val="28"/>
          <w:szCs w:val="28"/>
          <w:highlight w:val="none"/>
          <w:lang w:val="en-US" w:eastAsia="zh-CN"/>
        </w:rPr>
        <w:t>6</w:t>
      </w:r>
      <w:r>
        <w:rPr>
          <w:rFonts w:hint="eastAsia" w:asciiTheme="minorEastAsia" w:hAnsiTheme="minorEastAsia" w:eastAsiaTheme="minorEastAsia"/>
          <w:color w:val="auto"/>
          <w:kern w:val="0"/>
          <w:sz w:val="28"/>
          <w:szCs w:val="28"/>
          <w:highlight w:val="none"/>
          <w:lang w:val="zh-CN"/>
        </w:rPr>
        <w:t>）；</w:t>
      </w:r>
    </w:p>
    <w:p w14:paraId="4295CE87">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Theme="minorEastAsia" w:hAnsiTheme="minorEastAsia" w:eastAsiaTheme="minorEastAsia"/>
          <w:color w:val="auto"/>
          <w:kern w:val="0"/>
          <w:sz w:val="28"/>
          <w:szCs w:val="28"/>
          <w:highlight w:val="none"/>
          <w:lang w:val="zh-CN"/>
        </w:rPr>
      </w:pPr>
      <w:r>
        <w:rPr>
          <w:rFonts w:hint="eastAsia" w:asciiTheme="minorEastAsia" w:hAnsiTheme="minorEastAsia" w:eastAsiaTheme="minorEastAsia"/>
          <w:color w:val="auto"/>
          <w:kern w:val="0"/>
          <w:sz w:val="28"/>
          <w:szCs w:val="28"/>
          <w:highlight w:val="none"/>
          <w:lang w:val="zh-CN"/>
        </w:rPr>
        <w:t>2.中小企业声明函（</w:t>
      </w:r>
      <w:r>
        <w:rPr>
          <w:rFonts w:hint="eastAsia" w:asciiTheme="minorEastAsia" w:hAnsiTheme="minorEastAsia" w:eastAsiaTheme="minorEastAsia"/>
          <w:color w:val="auto"/>
          <w:kern w:val="0"/>
          <w:sz w:val="28"/>
          <w:szCs w:val="28"/>
          <w:highlight w:val="none"/>
          <w:lang w:val="en-US" w:eastAsia="zh-CN"/>
        </w:rPr>
        <w:t>如有，</w:t>
      </w:r>
      <w:r>
        <w:rPr>
          <w:rFonts w:hint="eastAsia" w:asciiTheme="minorEastAsia" w:hAnsiTheme="minorEastAsia" w:eastAsiaTheme="minorEastAsia"/>
          <w:color w:val="auto"/>
          <w:kern w:val="0"/>
          <w:sz w:val="28"/>
          <w:szCs w:val="28"/>
          <w:highlight w:val="none"/>
          <w:lang w:val="zh-CN"/>
        </w:rPr>
        <w:t>格式见附件</w:t>
      </w:r>
      <w:r>
        <w:rPr>
          <w:rFonts w:hint="eastAsia" w:asciiTheme="minorEastAsia" w:hAnsiTheme="minorEastAsia" w:eastAsiaTheme="minorEastAsia"/>
          <w:color w:val="auto"/>
          <w:kern w:val="0"/>
          <w:sz w:val="28"/>
          <w:szCs w:val="28"/>
          <w:highlight w:val="none"/>
          <w:lang w:val="en-US" w:eastAsia="zh-CN"/>
        </w:rPr>
        <w:t>7</w:t>
      </w:r>
      <w:r>
        <w:rPr>
          <w:rFonts w:hint="eastAsia" w:asciiTheme="minorEastAsia" w:hAnsiTheme="minorEastAsia" w:eastAsiaTheme="minorEastAsia"/>
          <w:color w:val="auto"/>
          <w:kern w:val="0"/>
          <w:sz w:val="28"/>
          <w:szCs w:val="28"/>
          <w:highlight w:val="none"/>
          <w:lang w:val="zh-CN"/>
        </w:rPr>
        <w:t>）；</w:t>
      </w:r>
    </w:p>
    <w:p w14:paraId="7177D5A5">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Theme="minorEastAsia" w:hAnsiTheme="minorEastAsia" w:eastAsiaTheme="minorEastAsia"/>
          <w:color w:val="auto"/>
          <w:kern w:val="0"/>
          <w:sz w:val="28"/>
          <w:szCs w:val="28"/>
          <w:highlight w:val="none"/>
          <w:lang w:val="zh-CN"/>
        </w:rPr>
      </w:pPr>
      <w:r>
        <w:rPr>
          <w:rFonts w:hint="eastAsia" w:asciiTheme="minorEastAsia" w:hAnsiTheme="minorEastAsia" w:eastAsiaTheme="minorEastAsia"/>
          <w:color w:val="auto"/>
          <w:kern w:val="0"/>
          <w:sz w:val="28"/>
          <w:szCs w:val="28"/>
          <w:highlight w:val="none"/>
          <w:lang w:val="zh-CN"/>
        </w:rPr>
        <w:t>3.残疾人福利性单位声明函（</w:t>
      </w:r>
      <w:r>
        <w:rPr>
          <w:rFonts w:hint="eastAsia" w:asciiTheme="minorEastAsia" w:hAnsiTheme="minorEastAsia" w:eastAsiaTheme="minorEastAsia"/>
          <w:color w:val="auto"/>
          <w:kern w:val="0"/>
          <w:sz w:val="28"/>
          <w:szCs w:val="28"/>
          <w:highlight w:val="none"/>
          <w:lang w:val="en-US" w:eastAsia="zh-CN"/>
        </w:rPr>
        <w:t>如有，</w:t>
      </w:r>
      <w:r>
        <w:rPr>
          <w:rFonts w:hint="eastAsia" w:asciiTheme="minorEastAsia" w:hAnsiTheme="minorEastAsia" w:eastAsiaTheme="minorEastAsia"/>
          <w:color w:val="auto"/>
          <w:kern w:val="0"/>
          <w:sz w:val="28"/>
          <w:szCs w:val="28"/>
          <w:highlight w:val="none"/>
          <w:lang w:val="zh-CN"/>
        </w:rPr>
        <w:t>格式见附件</w:t>
      </w:r>
      <w:r>
        <w:rPr>
          <w:rFonts w:hint="eastAsia" w:asciiTheme="minorEastAsia" w:hAnsiTheme="minorEastAsia" w:eastAsiaTheme="minorEastAsia"/>
          <w:color w:val="auto"/>
          <w:kern w:val="0"/>
          <w:sz w:val="28"/>
          <w:szCs w:val="28"/>
          <w:highlight w:val="none"/>
          <w:lang w:val="en-US" w:eastAsia="zh-CN"/>
        </w:rPr>
        <w:t>8</w:t>
      </w:r>
      <w:r>
        <w:rPr>
          <w:rFonts w:hint="eastAsia" w:asciiTheme="minorEastAsia" w:hAnsiTheme="minorEastAsia" w:eastAsiaTheme="minorEastAsia"/>
          <w:color w:val="auto"/>
          <w:kern w:val="0"/>
          <w:sz w:val="28"/>
          <w:szCs w:val="28"/>
          <w:highlight w:val="none"/>
          <w:lang w:val="zh-CN"/>
        </w:rPr>
        <w:t>）；</w:t>
      </w:r>
    </w:p>
    <w:p w14:paraId="6B767C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en-US" w:eastAsia="zh-CN"/>
        </w:rPr>
      </w:pPr>
      <w:r>
        <w:rPr>
          <w:rFonts w:hint="eastAsia" w:asciiTheme="minorEastAsia" w:hAnsiTheme="minorEastAsia" w:eastAsiaTheme="minorEastAsia"/>
          <w:color w:val="auto"/>
          <w:kern w:val="0"/>
          <w:sz w:val="28"/>
          <w:szCs w:val="28"/>
          <w:highlight w:val="none"/>
          <w:lang w:val="zh-CN"/>
        </w:rPr>
        <w:t>4.监狱和戒毒企业证明材料（</w:t>
      </w:r>
      <w:r>
        <w:rPr>
          <w:rFonts w:hint="eastAsia" w:asciiTheme="minorEastAsia" w:hAnsiTheme="minorEastAsia" w:eastAsiaTheme="minorEastAsia"/>
          <w:color w:val="auto"/>
          <w:kern w:val="0"/>
          <w:sz w:val="28"/>
          <w:szCs w:val="28"/>
          <w:highlight w:val="none"/>
          <w:lang w:val="en-US" w:eastAsia="zh-CN"/>
        </w:rPr>
        <w:t>如有，</w:t>
      </w:r>
      <w:r>
        <w:rPr>
          <w:rFonts w:hint="eastAsia" w:asciiTheme="minorEastAsia" w:hAnsiTheme="minorEastAsia" w:eastAsiaTheme="minorEastAsia"/>
          <w:color w:val="auto"/>
          <w:kern w:val="0"/>
          <w:sz w:val="28"/>
          <w:szCs w:val="28"/>
          <w:highlight w:val="none"/>
          <w:lang w:val="zh-CN"/>
        </w:rPr>
        <w:t>格式见附件</w:t>
      </w:r>
      <w:r>
        <w:rPr>
          <w:rFonts w:hint="eastAsia" w:asciiTheme="minorEastAsia" w:hAnsiTheme="minorEastAsia" w:eastAsiaTheme="minorEastAsia"/>
          <w:color w:val="auto"/>
          <w:kern w:val="0"/>
          <w:sz w:val="28"/>
          <w:szCs w:val="28"/>
          <w:highlight w:val="none"/>
          <w:lang w:val="en-US" w:eastAsia="zh-CN"/>
        </w:rPr>
        <w:t>9</w:t>
      </w:r>
      <w:r>
        <w:rPr>
          <w:rFonts w:hint="eastAsia" w:asciiTheme="minorEastAsia" w:hAnsiTheme="minorEastAsia" w:eastAsiaTheme="minorEastAsia"/>
          <w:color w:val="auto"/>
          <w:kern w:val="0"/>
          <w:sz w:val="28"/>
          <w:szCs w:val="28"/>
          <w:highlight w:val="none"/>
          <w:lang w:val="zh-CN"/>
        </w:rPr>
        <w:t>）。</w:t>
      </w:r>
    </w:p>
    <w:p w14:paraId="4C824B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注：响应文件</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1</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份正本</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2</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份副本，响应文件中必须包含上述要求提供的所有材料的复印件并加盖报价单位公章，否则以未实质性响应采购文件处理。响应文件装订成册并密封，密封袋上标明：采购人名称、项目名称、供应商名称、响应文件名称</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lang w:val="en-US" w:eastAsia="zh-CN"/>
        </w:rPr>
        <w:t>联系电话、日期</w:t>
      </w:r>
      <w:r>
        <w:rPr>
          <w:rFonts w:ascii="宋体" w:hAnsi="宋体" w:eastAsia="宋体" w:cs="宋体"/>
          <w:b/>
          <w:bCs/>
          <w:color w:val="auto"/>
          <w:spacing w:val="0"/>
          <w:sz w:val="28"/>
          <w:szCs w:val="28"/>
          <w:highlight w:val="none"/>
        </w:rPr>
        <w:t>，否则视为无效报价。</w:t>
      </w:r>
    </w:p>
    <w:p w14:paraId="17380D8B">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color w:val="auto"/>
          <w:sz w:val="28"/>
          <w:szCs w:val="28"/>
          <w:highlight w:val="none"/>
        </w:rPr>
        <w:sectPr>
          <w:footerReference r:id="rId4" w:type="default"/>
          <w:pgSz w:w="11907" w:h="16839"/>
          <w:pgMar w:top="1431" w:right="1430" w:bottom="1154" w:left="1597" w:header="0" w:footer="988" w:gutter="0"/>
          <w:pgNumType w:fmt="decimal"/>
          <w:cols w:space="720" w:num="1"/>
        </w:sectPr>
      </w:pPr>
    </w:p>
    <w:p w14:paraId="169B97FC">
      <w:pPr>
        <w:snapToGrid w:val="0"/>
        <w:spacing w:line="40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附件1</w:t>
      </w:r>
    </w:p>
    <w:p w14:paraId="2136EC14">
      <w:pPr>
        <w:pStyle w:val="3"/>
        <w:rPr>
          <w:rFonts w:hint="eastAsia"/>
          <w:highlight w:val="none"/>
          <w:lang w:val="zh-CN"/>
        </w:rPr>
      </w:pPr>
    </w:p>
    <w:p w14:paraId="7A0E8472">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投标人符合《中华人民共和国政府采购法》第二十二条规定条件的</w:t>
      </w:r>
    </w:p>
    <w:p w14:paraId="6A22547E">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声明函</w:t>
      </w:r>
    </w:p>
    <w:p w14:paraId="42105D95">
      <w:pPr>
        <w:spacing w:line="460" w:lineRule="exact"/>
        <w:rPr>
          <w:rFonts w:hint="eastAsia" w:ascii="宋体" w:hAnsi="宋体" w:eastAsia="宋体" w:cs="宋体"/>
          <w:b/>
          <w:bCs/>
          <w:color w:val="auto"/>
          <w:sz w:val="44"/>
          <w:szCs w:val="44"/>
          <w:highlight w:val="none"/>
        </w:rPr>
      </w:pP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44"/>
          <w:szCs w:val="44"/>
          <w:highlight w:val="none"/>
        </w:rPr>
        <w:t xml:space="preserve">   </w:t>
      </w:r>
    </w:p>
    <w:p w14:paraId="08E307FB">
      <w:pPr>
        <w:spacing w:line="5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我单位参加</w:t>
      </w:r>
      <w:r>
        <w:rPr>
          <w:rFonts w:hint="eastAsia" w:ascii="宋体" w:hAnsi="宋体" w:eastAsia="宋体" w:cs="宋体"/>
          <w:bCs/>
          <w:color w:val="auto"/>
          <w:sz w:val="24"/>
          <w:szCs w:val="21"/>
          <w:highlight w:val="none"/>
          <w:u w:val="single"/>
        </w:rPr>
        <w:t>________________ _</w:t>
      </w:r>
      <w:r>
        <w:rPr>
          <w:rFonts w:hint="eastAsia" w:ascii="宋体" w:hAnsi="宋体" w:eastAsia="宋体" w:cs="宋体"/>
          <w:bCs/>
          <w:color w:val="auto"/>
          <w:sz w:val="24"/>
          <w:szCs w:val="21"/>
          <w:highlight w:val="none"/>
        </w:rPr>
        <w:t>（项目名称）投标活动。针对《中华人民共和国政府采购法》第二十二条规定做出如下声明：</w:t>
      </w:r>
    </w:p>
    <w:p w14:paraId="08B5DC6A">
      <w:pPr>
        <w:spacing w:line="520" w:lineRule="exact"/>
        <w:ind w:firstLine="482"/>
        <w:rPr>
          <w:rFonts w:hint="eastAsia" w:ascii="宋体" w:hAnsi="宋体" w:eastAsia="宋体" w:cs="宋体"/>
          <w:color w:val="auto"/>
          <w:sz w:val="24"/>
          <w:highlight w:val="none"/>
        </w:rPr>
      </w:pPr>
      <w:r>
        <w:rPr>
          <w:rFonts w:hint="eastAsia" w:ascii="宋体" w:hAnsi="宋体" w:eastAsia="宋体" w:cs="宋体"/>
          <w:bCs/>
          <w:color w:val="auto"/>
          <w:sz w:val="24"/>
          <w:szCs w:val="21"/>
          <w:highlight w:val="none"/>
        </w:rPr>
        <w:t>1.我单位具有独立承担民事责任的能力；</w:t>
      </w:r>
    </w:p>
    <w:p w14:paraId="43D572C6">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2.我单位具有良好的商业信誉和健全的财务会计制度；</w:t>
      </w:r>
    </w:p>
    <w:p w14:paraId="6EA0EC78">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3.我单位具有履行合同所必需的设备和专业技术能力；</w:t>
      </w:r>
    </w:p>
    <w:p w14:paraId="2E9CAFEE">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4.我单位有依法缴纳税收和社会保障资金的良好记录；</w:t>
      </w:r>
    </w:p>
    <w:p w14:paraId="4C160C83">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4EAC945">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6.我单位满足法律、行政法规规定的其他条件。</w:t>
      </w:r>
    </w:p>
    <w:p w14:paraId="3E382113">
      <w:pPr>
        <w:spacing w:line="500" w:lineRule="exact"/>
        <w:ind w:firstLine="482"/>
        <w:rPr>
          <w:rFonts w:hint="eastAsia" w:ascii="宋体" w:hAnsi="宋体" w:eastAsia="宋体" w:cs="宋体"/>
          <w:color w:val="auto"/>
          <w:sz w:val="24"/>
          <w:highlight w:val="none"/>
        </w:rPr>
      </w:pPr>
    </w:p>
    <w:p w14:paraId="0A59BAE9">
      <w:pPr>
        <w:spacing w:line="500" w:lineRule="exact"/>
        <w:rPr>
          <w:rFonts w:hint="eastAsia" w:ascii="宋体" w:hAnsi="宋体" w:eastAsia="宋体" w:cs="宋体"/>
          <w:color w:val="auto"/>
          <w:sz w:val="24"/>
          <w:highlight w:val="none"/>
        </w:rPr>
      </w:pPr>
    </w:p>
    <w:p w14:paraId="2F642A6D">
      <w:pPr>
        <w:spacing w:line="500" w:lineRule="exact"/>
        <w:rPr>
          <w:rFonts w:hint="eastAsia" w:ascii="宋体" w:hAnsi="宋体" w:eastAsia="宋体" w:cs="宋体"/>
          <w:bCs/>
          <w:color w:val="auto"/>
          <w:sz w:val="24"/>
          <w:szCs w:val="21"/>
          <w:highlight w:val="none"/>
        </w:rPr>
      </w:pPr>
    </w:p>
    <w:p w14:paraId="30BC70C3">
      <w:pPr>
        <w:spacing w:line="500" w:lineRule="exact"/>
        <w:rPr>
          <w:rFonts w:hint="eastAsia" w:ascii="宋体" w:hAnsi="宋体" w:eastAsia="宋体" w:cs="宋体"/>
          <w:bCs/>
          <w:color w:val="auto"/>
          <w:sz w:val="24"/>
          <w:szCs w:val="21"/>
          <w:highlight w:val="none"/>
        </w:rPr>
      </w:pPr>
    </w:p>
    <w:p w14:paraId="483EC886">
      <w:pPr>
        <w:spacing w:line="500" w:lineRule="exact"/>
        <w:rPr>
          <w:rFonts w:hint="eastAsia" w:ascii="宋体" w:hAnsi="宋体" w:eastAsia="宋体" w:cs="宋体"/>
          <w:bCs/>
          <w:color w:val="auto"/>
          <w:sz w:val="24"/>
          <w:szCs w:val="21"/>
          <w:highlight w:val="none"/>
        </w:rPr>
      </w:pPr>
    </w:p>
    <w:p w14:paraId="2B9F94CC">
      <w:pPr>
        <w:spacing w:line="460" w:lineRule="exact"/>
        <w:jc w:val="center"/>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承诺人名称（公章）：</w:t>
      </w:r>
    </w:p>
    <w:p w14:paraId="241C20F7">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w:t>
      </w:r>
    </w:p>
    <w:p w14:paraId="662968D0">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日期：</w:t>
      </w:r>
      <w:r>
        <w:rPr>
          <w:rFonts w:hint="eastAsia" w:ascii="宋体" w:hAnsi="宋体" w:eastAsia="宋体" w:cs="宋体"/>
          <w:bCs/>
          <w:color w:val="auto"/>
          <w:sz w:val="24"/>
          <w:szCs w:val="21"/>
          <w:highlight w:val="none"/>
          <w:u w:val="single"/>
        </w:rPr>
        <w:t>______</w:t>
      </w:r>
      <w:r>
        <w:rPr>
          <w:rFonts w:hint="eastAsia" w:ascii="宋体" w:hAnsi="宋体" w:eastAsia="宋体" w:cs="宋体"/>
          <w:bCs/>
          <w:color w:val="auto"/>
          <w:sz w:val="24"/>
          <w:szCs w:val="21"/>
          <w:highlight w:val="none"/>
        </w:rPr>
        <w:t>年</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月</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日</w:t>
      </w:r>
    </w:p>
    <w:p w14:paraId="5DA6DF88">
      <w:pPr>
        <w:spacing w:line="360" w:lineRule="auto"/>
        <w:rPr>
          <w:rFonts w:hint="eastAsia" w:ascii="宋体" w:hAnsi="宋体" w:eastAsia="宋体" w:cs="宋体"/>
          <w:bCs/>
          <w:color w:val="auto"/>
          <w:sz w:val="28"/>
          <w:szCs w:val="22"/>
          <w:highlight w:val="none"/>
        </w:rPr>
      </w:pPr>
    </w:p>
    <w:p w14:paraId="65DA5ACA">
      <w:pPr>
        <w:spacing w:line="360" w:lineRule="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br w:type="page"/>
      </w:r>
    </w:p>
    <w:p w14:paraId="04D9F74A">
      <w:pPr>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附件2</w:t>
      </w:r>
    </w:p>
    <w:p w14:paraId="38F087AF">
      <w:pPr>
        <w:spacing w:line="5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w:t>
      </w:r>
    </w:p>
    <w:p w14:paraId="7E920815">
      <w:pPr>
        <w:spacing w:line="480" w:lineRule="exact"/>
        <w:rPr>
          <w:rFonts w:hint="eastAsia" w:ascii="宋体" w:hAnsi="宋体" w:eastAsia="宋体" w:cs="宋体"/>
          <w:color w:val="auto"/>
          <w:sz w:val="24"/>
          <w:highlight w:val="none"/>
        </w:rPr>
      </w:pPr>
    </w:p>
    <w:p w14:paraId="7C216CAE">
      <w:pPr>
        <w:spacing w:line="480" w:lineRule="exact"/>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先生/女士，身份证号码：</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现任我单位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职务，为法定代表人，特此证明。</w:t>
      </w:r>
      <w:r>
        <w:rPr>
          <w:rFonts w:hint="eastAsia" w:ascii="宋体" w:hAnsi="宋体" w:cs="宋体"/>
          <w:color w:val="auto"/>
          <w:sz w:val="24"/>
          <w:highlight w:val="none"/>
          <w:lang w:val="en-US" w:eastAsia="zh-CN"/>
        </w:rPr>
        <w:t xml:space="preserve"> </w:t>
      </w:r>
    </w:p>
    <w:p w14:paraId="2953473F">
      <w:pPr>
        <w:spacing w:line="480" w:lineRule="exact"/>
        <w:ind w:firstLine="480"/>
        <w:rPr>
          <w:rFonts w:hint="eastAsia" w:ascii="宋体" w:hAnsi="宋体" w:eastAsia="宋体" w:cs="宋体"/>
          <w:color w:val="auto"/>
          <w:sz w:val="24"/>
          <w:highlight w:val="none"/>
        </w:rPr>
      </w:pPr>
    </w:p>
    <w:p w14:paraId="7AE1156C">
      <w:pPr>
        <w:spacing w:after="120"/>
        <w:rPr>
          <w:rFonts w:hint="eastAsia" w:ascii="宋体" w:hAnsi="宋体" w:eastAsia="宋体" w:cs="宋体"/>
          <w:color w:val="auto"/>
          <w:szCs w:val="20"/>
          <w:highlight w:val="none"/>
        </w:rPr>
      </w:pPr>
    </w:p>
    <w:p w14:paraId="27FFD2C3">
      <w:pPr>
        <w:adjustRightInd w:val="0"/>
        <w:spacing w:line="480" w:lineRule="auto"/>
        <w:ind w:left="3255" w:leftChars="1550" w:firstLine="210" w:firstLineChars="100"/>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单位名称(盖公章)：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C454681">
      <w:pPr>
        <w:adjustRightInd w:val="0"/>
        <w:spacing w:line="48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28AE772A">
      <w:pPr>
        <w:rPr>
          <w:rFonts w:hint="eastAsia" w:ascii="宋体" w:hAnsi="宋体" w:eastAsia="宋体" w:cs="宋体"/>
          <w:color w:val="auto"/>
          <w:highlight w:val="none"/>
        </w:rPr>
      </w:pPr>
    </w:p>
    <w:p w14:paraId="481E57DB">
      <w:pPr>
        <w:widowControl/>
        <w:spacing w:line="360" w:lineRule="auto"/>
        <w:rPr>
          <w:rFonts w:hint="eastAsia" w:ascii="宋体" w:hAnsi="宋体" w:eastAsia="宋体" w:cs="宋体"/>
          <w:b/>
          <w:bCs/>
          <w:color w:val="auto"/>
          <w:kern w:val="0"/>
          <w:sz w:val="28"/>
          <w:szCs w:val="28"/>
          <w:highlight w:val="none"/>
        </w:rPr>
      </w:pPr>
      <w:r>
        <w:rPr>
          <w:rFonts w:hint="eastAsia" w:ascii="宋体" w:hAnsi="宋体" w:eastAsia="宋体" w:cs="宋体"/>
          <w:b/>
          <w:color w:val="auto"/>
          <w:sz w:val="24"/>
          <w:highlight w:val="none"/>
        </w:rPr>
        <w:t>附：法定代表人的身份证复印件盖单位公章</w:t>
      </w:r>
    </w:p>
    <w:p w14:paraId="4F1D3EFB">
      <w:pPr>
        <w:adjustRightInd w:val="0"/>
        <w:snapToGrid w:val="0"/>
        <w:spacing w:line="312" w:lineRule="auto"/>
        <w:ind w:firstLine="562" w:firstLineChars="200"/>
        <w:jc w:val="left"/>
        <w:rPr>
          <w:rFonts w:hint="eastAsia" w:ascii="宋体" w:hAnsi="宋体" w:eastAsia="宋体" w:cs="宋体"/>
          <w:b/>
          <w:color w:val="auto"/>
          <w:sz w:val="28"/>
          <w:szCs w:val="28"/>
          <w:highlight w:val="none"/>
        </w:rPr>
      </w:pPr>
    </w:p>
    <w:p w14:paraId="3005F588">
      <w:pPr>
        <w:adjustRightInd w:val="0"/>
        <w:snapToGrid w:val="0"/>
        <w:spacing w:line="312" w:lineRule="auto"/>
        <w:jc w:val="left"/>
        <w:rPr>
          <w:rFonts w:hint="eastAsia" w:ascii="宋体" w:hAnsi="宋体" w:eastAsia="宋体" w:cs="宋体"/>
          <w:color w:val="auto"/>
          <w:sz w:val="32"/>
          <w:szCs w:val="32"/>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color w:val="auto"/>
          <w:sz w:val="32"/>
          <w:szCs w:val="32"/>
          <w:highlight w:val="none"/>
        </w:rPr>
        <w:t>附件3</w:t>
      </w:r>
    </w:p>
    <w:p w14:paraId="1870C8A7">
      <w:pPr>
        <w:spacing w:line="440" w:lineRule="exact"/>
        <w:jc w:val="center"/>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法</w:t>
      </w:r>
      <w:r>
        <w:rPr>
          <w:rFonts w:hint="eastAsia" w:ascii="宋体" w:hAnsi="宋体" w:eastAsia="宋体" w:cs="宋体"/>
          <w:color w:val="auto"/>
          <w:sz w:val="32"/>
          <w:szCs w:val="32"/>
          <w:highlight w:val="none"/>
          <w:lang w:bidi="ar"/>
        </w:rPr>
        <w:t xml:space="preserve"> </w:t>
      </w:r>
      <w:r>
        <w:rPr>
          <w:rFonts w:hint="eastAsia" w:ascii="宋体" w:hAnsi="宋体" w:eastAsia="宋体" w:cs="宋体"/>
          <w:b/>
          <w:color w:val="auto"/>
          <w:sz w:val="32"/>
          <w:szCs w:val="32"/>
          <w:highlight w:val="none"/>
          <w:lang w:bidi="ar"/>
        </w:rPr>
        <w:t>定 代 表 人 授 权 委 托 书</w:t>
      </w:r>
    </w:p>
    <w:p w14:paraId="195D6DC1">
      <w:pPr>
        <w:spacing w:line="440" w:lineRule="exact"/>
        <w:rPr>
          <w:rFonts w:hint="eastAsia" w:ascii="宋体" w:hAnsi="宋体" w:eastAsia="宋体" w:cs="宋体"/>
          <w:color w:val="auto"/>
          <w:sz w:val="24"/>
          <w:szCs w:val="24"/>
          <w:highlight w:val="none"/>
        </w:rPr>
      </w:pPr>
    </w:p>
    <w:p w14:paraId="3FD78BCF">
      <w:pPr>
        <w:spacing w:line="440" w:lineRule="exact"/>
        <w:rPr>
          <w:rFonts w:hint="eastAsia" w:ascii="宋体" w:hAnsi="宋体" w:eastAsia="宋体" w:cs="宋体"/>
          <w:color w:val="auto"/>
          <w:sz w:val="24"/>
          <w:szCs w:val="24"/>
          <w:highlight w:val="none"/>
          <w:u w:val="single"/>
          <w:lang w:bidi="ar"/>
        </w:rPr>
      </w:pPr>
      <w:r>
        <w:rPr>
          <w:rFonts w:hint="eastAsia" w:ascii="宋体" w:hAnsi="宋体" w:cs="宋体"/>
          <w:color w:val="auto"/>
          <w:sz w:val="24"/>
          <w:szCs w:val="24"/>
          <w:highlight w:val="none"/>
          <w:u w:val="single"/>
          <w:lang w:val="en-US" w:eastAsia="zh-CN" w:bidi="ar"/>
        </w:rPr>
        <w:t>启东市吕四自来水厂有限公司</w:t>
      </w:r>
      <w:r>
        <w:rPr>
          <w:rFonts w:hint="eastAsia" w:ascii="宋体" w:hAnsi="宋体" w:eastAsia="宋体" w:cs="宋体"/>
          <w:color w:val="auto"/>
          <w:sz w:val="24"/>
          <w:szCs w:val="24"/>
          <w:highlight w:val="none"/>
          <w:lang w:bidi="ar"/>
        </w:rPr>
        <w:t>：</w:t>
      </w:r>
    </w:p>
    <w:p w14:paraId="743C75F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系中华人民共和国合法企业（或事业单位），法定地址：</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，特授权</w:t>
      </w:r>
      <w:r>
        <w:rPr>
          <w:rFonts w:hint="eastAsia" w:ascii="宋体" w:hAnsi="宋体" w:eastAsia="宋体" w:cs="宋体"/>
          <w:color w:val="auto"/>
          <w:sz w:val="24"/>
          <w:szCs w:val="24"/>
          <w:highlight w:val="none"/>
          <w:u w:val="single"/>
          <w:lang w:bidi="ar"/>
        </w:rPr>
        <w:t xml:space="preserve"> </w:t>
      </w:r>
      <w:r>
        <w:rPr>
          <w:rFonts w:hint="eastAsia" w:ascii="宋体" w:hAnsi="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代表我单位全权办理针对</w:t>
      </w:r>
      <w:r>
        <w:rPr>
          <w:rFonts w:hint="eastAsia" w:ascii="宋体" w:hAnsi="宋体" w:cs="宋体"/>
          <w:color w:val="auto"/>
          <w:sz w:val="24"/>
          <w:szCs w:val="24"/>
          <w:highlight w:val="none"/>
          <w:u w:val="single"/>
          <w:lang w:val="en-US" w:eastAsia="zh-CN" w:bidi="ar"/>
        </w:rPr>
        <w:t xml:space="preserve">启东市洋吕铁路安置房（东区）二次供水泵房一标段（设备采购及安装项目） </w:t>
      </w:r>
      <w:r>
        <w:rPr>
          <w:rFonts w:hint="eastAsia" w:ascii="宋体" w:hAnsi="宋体" w:eastAsia="宋体" w:cs="宋体"/>
          <w:color w:val="auto"/>
          <w:sz w:val="24"/>
          <w:szCs w:val="24"/>
          <w:highlight w:val="none"/>
          <w:lang w:bidi="ar"/>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229CF63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被授权人无权转委托。</w:t>
      </w:r>
    </w:p>
    <w:p w14:paraId="72DD3DF1">
      <w:pPr>
        <w:spacing w:line="440" w:lineRule="exact"/>
        <w:ind w:firstLine="480" w:firstLineChars="200"/>
        <w:rPr>
          <w:rFonts w:hint="eastAsia" w:ascii="宋体" w:hAnsi="宋体" w:eastAsia="宋体" w:cs="宋体"/>
          <w:color w:val="auto"/>
          <w:sz w:val="24"/>
          <w:szCs w:val="24"/>
          <w:highlight w:val="none"/>
        </w:rPr>
      </w:pPr>
    </w:p>
    <w:p w14:paraId="41FDB9D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被授权人（</w:t>
      </w:r>
      <w:r>
        <w:rPr>
          <w:rFonts w:hint="eastAsia" w:ascii="宋体" w:hAnsi="宋体" w:eastAsia="宋体" w:cs="宋体"/>
          <w:b/>
          <w:bCs/>
          <w:color w:val="auto"/>
          <w:sz w:val="24"/>
          <w:szCs w:val="24"/>
          <w:highlight w:val="none"/>
          <w:lang w:bidi="ar"/>
        </w:rPr>
        <w:t>签字</w:t>
      </w:r>
      <w:r>
        <w:rPr>
          <w:rFonts w:hint="eastAsia" w:ascii="宋体" w:hAnsi="宋体" w:cs="宋体"/>
          <w:b/>
          <w:bCs/>
          <w:color w:val="auto"/>
          <w:sz w:val="24"/>
          <w:szCs w:val="24"/>
          <w:highlight w:val="none"/>
          <w:lang w:eastAsia="zh-CN" w:bidi="ar"/>
        </w:rPr>
        <w:t>或盖章</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性别：</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年龄：</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职务：</w:t>
      </w:r>
      <w:r>
        <w:rPr>
          <w:rFonts w:hint="eastAsia" w:ascii="宋体" w:hAnsi="宋体" w:eastAsia="宋体" w:cs="宋体"/>
          <w:color w:val="auto"/>
          <w:sz w:val="24"/>
          <w:szCs w:val="24"/>
          <w:highlight w:val="none"/>
          <w:u w:val="single"/>
          <w:lang w:bidi="ar"/>
        </w:rPr>
        <w:t xml:space="preserve">       </w:t>
      </w:r>
    </w:p>
    <w:p w14:paraId="334CADE4">
      <w:pPr>
        <w:spacing w:line="440" w:lineRule="exact"/>
        <w:rPr>
          <w:rFonts w:hint="eastAsia" w:ascii="宋体" w:hAnsi="宋体" w:eastAsia="宋体" w:cs="宋体"/>
          <w:color w:val="auto"/>
          <w:sz w:val="24"/>
          <w:szCs w:val="24"/>
          <w:highlight w:val="none"/>
        </w:rPr>
      </w:pPr>
    </w:p>
    <w:p w14:paraId="4768DDB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身份证号码：</w:t>
      </w:r>
      <w:r>
        <w:rPr>
          <w:rFonts w:hint="eastAsia" w:ascii="宋体" w:hAnsi="宋体" w:eastAsia="宋体" w:cs="宋体"/>
          <w:color w:val="auto"/>
          <w:sz w:val="24"/>
          <w:szCs w:val="24"/>
          <w:highlight w:val="none"/>
          <w:u w:val="single"/>
          <w:lang w:bidi="ar"/>
        </w:rPr>
        <w:t xml:space="preserve">                                       </w:t>
      </w:r>
    </w:p>
    <w:p w14:paraId="4A69CFEF">
      <w:pPr>
        <w:spacing w:line="440" w:lineRule="exact"/>
        <w:rPr>
          <w:rFonts w:hint="eastAsia" w:ascii="宋体" w:hAnsi="宋体" w:eastAsia="宋体" w:cs="宋体"/>
          <w:color w:val="auto"/>
          <w:sz w:val="24"/>
          <w:szCs w:val="24"/>
          <w:highlight w:val="none"/>
        </w:rPr>
      </w:pPr>
    </w:p>
    <w:p w14:paraId="137DB37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通讯地址：</w:t>
      </w:r>
      <w:r>
        <w:rPr>
          <w:rFonts w:hint="eastAsia" w:ascii="宋体" w:hAnsi="宋体" w:eastAsia="宋体" w:cs="宋体"/>
          <w:color w:val="auto"/>
          <w:sz w:val="24"/>
          <w:szCs w:val="24"/>
          <w:highlight w:val="none"/>
          <w:u w:val="single"/>
          <w:lang w:bidi="ar"/>
        </w:rPr>
        <w:t xml:space="preserve">                                         </w:t>
      </w:r>
    </w:p>
    <w:p w14:paraId="10EB6DBE">
      <w:pPr>
        <w:spacing w:line="440" w:lineRule="exact"/>
        <w:rPr>
          <w:rFonts w:hint="eastAsia" w:ascii="宋体" w:hAnsi="宋体" w:eastAsia="宋体" w:cs="宋体"/>
          <w:color w:val="auto"/>
          <w:sz w:val="24"/>
          <w:szCs w:val="24"/>
          <w:highlight w:val="none"/>
        </w:rPr>
      </w:pPr>
    </w:p>
    <w:p w14:paraId="4B5538F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联系电话：</w:t>
      </w:r>
      <w:r>
        <w:rPr>
          <w:rFonts w:hint="eastAsia" w:ascii="宋体" w:hAnsi="宋体" w:eastAsia="宋体" w:cs="宋体"/>
          <w:color w:val="auto"/>
          <w:sz w:val="24"/>
          <w:szCs w:val="24"/>
          <w:highlight w:val="none"/>
          <w:u w:val="single"/>
          <w:lang w:bidi="ar"/>
        </w:rPr>
        <w:t xml:space="preserve">                                         </w:t>
      </w:r>
    </w:p>
    <w:p w14:paraId="46202383">
      <w:pPr>
        <w:spacing w:line="440" w:lineRule="exact"/>
        <w:rPr>
          <w:rFonts w:hint="eastAsia" w:ascii="宋体" w:hAnsi="宋体" w:eastAsia="宋体" w:cs="宋体"/>
          <w:color w:val="auto"/>
          <w:sz w:val="24"/>
          <w:szCs w:val="24"/>
          <w:highlight w:val="none"/>
        </w:rPr>
      </w:pPr>
    </w:p>
    <w:p w14:paraId="73A913A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法定代表人（签字或盖章）：</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 </w:t>
      </w:r>
    </w:p>
    <w:p w14:paraId="615C3CD7">
      <w:pPr>
        <w:spacing w:line="440" w:lineRule="exact"/>
        <w:rPr>
          <w:rFonts w:hint="eastAsia" w:ascii="宋体" w:hAnsi="宋体" w:eastAsia="宋体" w:cs="宋体"/>
          <w:color w:val="auto"/>
          <w:sz w:val="24"/>
          <w:szCs w:val="24"/>
          <w:highlight w:val="none"/>
        </w:rPr>
      </w:pPr>
    </w:p>
    <w:p w14:paraId="552CBFC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供应商（</w:t>
      </w:r>
      <w:r>
        <w:rPr>
          <w:rFonts w:hint="eastAsia" w:ascii="宋体" w:hAnsi="宋体" w:eastAsia="宋体" w:cs="宋体"/>
          <w:color w:val="auto"/>
          <w:sz w:val="24"/>
          <w:szCs w:val="24"/>
          <w:highlight w:val="none"/>
          <w:lang w:eastAsia="zh-CN" w:bidi="ar"/>
        </w:rPr>
        <w:t>盖公章</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u w:val="single"/>
          <w:lang w:bidi="ar"/>
        </w:rPr>
        <w:t xml:space="preserve">                          </w:t>
      </w:r>
    </w:p>
    <w:p w14:paraId="2E780437">
      <w:pPr>
        <w:spacing w:line="440" w:lineRule="exact"/>
        <w:rPr>
          <w:rFonts w:hint="eastAsia" w:ascii="宋体" w:hAnsi="宋体" w:eastAsia="宋体" w:cs="宋体"/>
          <w:color w:val="auto"/>
          <w:sz w:val="24"/>
          <w:szCs w:val="24"/>
          <w:highlight w:val="none"/>
        </w:rPr>
      </w:pPr>
    </w:p>
    <w:p w14:paraId="4E52BA4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lang w:eastAsia="zh-CN" w:bidi="ar"/>
        </w:rPr>
        <w:t>日期：</w:t>
      </w:r>
      <w:r>
        <w:rPr>
          <w:rFonts w:hint="eastAsia"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日</w:t>
      </w:r>
    </w:p>
    <w:p w14:paraId="6B6C9156">
      <w:pPr>
        <w:spacing w:line="440" w:lineRule="exact"/>
        <w:jc w:val="left"/>
        <w:rPr>
          <w:rFonts w:hint="eastAsia" w:ascii="宋体" w:hAnsi="宋体" w:eastAsia="宋体" w:cs="宋体"/>
          <w:b/>
          <w:color w:val="auto"/>
          <w:kern w:val="0"/>
          <w:sz w:val="24"/>
          <w:szCs w:val="24"/>
          <w:highlight w:val="none"/>
        </w:rPr>
      </w:pPr>
    </w:p>
    <w:p w14:paraId="308067C1">
      <w:pPr>
        <w:jc w:val="left"/>
        <w:rPr>
          <w:rFonts w:hint="eastAsia" w:ascii="宋体" w:hAnsi="宋体" w:eastAsia="宋体" w:cs="宋体"/>
          <w:b/>
          <w:bCs/>
          <w:color w:val="auto"/>
          <w:sz w:val="24"/>
          <w:szCs w:val="24"/>
          <w:highlight w:val="none"/>
          <w:lang w:bidi="ar"/>
        </w:rPr>
      </w:pPr>
    </w:p>
    <w:p w14:paraId="5D1C4389">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bidi="ar"/>
        </w:rPr>
        <w:t>附：被授权人身份证正反面复印件</w:t>
      </w:r>
      <w:r>
        <w:rPr>
          <w:rFonts w:hint="eastAsia" w:ascii="宋体" w:hAnsi="宋体" w:eastAsia="宋体" w:cs="宋体"/>
          <w:b/>
          <w:bCs/>
          <w:color w:val="auto"/>
          <w:sz w:val="24"/>
          <w:szCs w:val="24"/>
          <w:highlight w:val="none"/>
          <w:lang w:val="en-US" w:eastAsia="zh-CN" w:bidi="ar"/>
        </w:rPr>
        <w:t>盖公章</w:t>
      </w:r>
    </w:p>
    <w:p w14:paraId="264B994A">
      <w:pPr>
        <w:adjustRightInd w:val="0"/>
        <w:snapToGrid w:val="0"/>
        <w:spacing w:line="312" w:lineRule="auto"/>
        <w:ind w:firstLine="560" w:firstLineChars="200"/>
        <w:jc w:val="left"/>
        <w:rPr>
          <w:rFonts w:hint="eastAsia" w:ascii="宋体" w:hAnsi="宋体" w:eastAsia="宋体" w:cs="宋体"/>
          <w:b/>
          <w:color w:val="auto"/>
          <w:sz w:val="24"/>
          <w:highlight w:val="none"/>
        </w:rPr>
      </w:pPr>
      <w:r>
        <w:rPr>
          <w:rFonts w:hint="eastAsia" w:ascii="宋体" w:hAnsi="宋体" w:eastAsia="宋体" w:cs="宋体"/>
          <w:bCs/>
          <w:color w:val="auto"/>
          <w:sz w:val="28"/>
          <w:szCs w:val="28"/>
          <w:highlight w:val="none"/>
        </w:rPr>
        <w:br w:type="page"/>
      </w:r>
    </w:p>
    <w:p w14:paraId="0C14FB36">
      <w:pPr>
        <w:rPr>
          <w:rFonts w:hint="eastAsia" w:ascii="宋体" w:hAnsi="宋体" w:eastAsia="宋体" w:cs="宋体"/>
          <w:b/>
          <w:color w:val="auto"/>
          <w:sz w:val="30"/>
          <w:szCs w:val="30"/>
          <w:highlight w:val="none"/>
          <w:lang w:bidi="ar"/>
        </w:rPr>
      </w:pPr>
      <w:r>
        <w:rPr>
          <w:rFonts w:hint="eastAsia" w:ascii="宋体" w:hAnsi="宋体" w:eastAsia="宋体" w:cs="宋体"/>
          <w:color w:val="auto"/>
          <w:sz w:val="32"/>
          <w:szCs w:val="32"/>
          <w:highlight w:val="none"/>
        </w:rPr>
        <w:t>附件4</w:t>
      </w:r>
    </w:p>
    <w:p w14:paraId="4F9775BF">
      <w:pPr>
        <w:spacing w:before="255" w:line="219" w:lineRule="auto"/>
        <w:ind w:left="3189"/>
        <w:outlineLvl w:val="2"/>
        <w:rPr>
          <w:rFonts w:ascii="宋体" w:hAnsi="宋体" w:eastAsia="宋体" w:cs="宋体"/>
          <w:color w:val="auto"/>
          <w:sz w:val="32"/>
          <w:szCs w:val="32"/>
          <w:highlight w:val="none"/>
        </w:rPr>
      </w:pPr>
      <w:r>
        <w:rPr>
          <w:rFonts w:ascii="宋体" w:hAnsi="宋体" w:eastAsia="宋体" w:cs="宋体"/>
          <w:b/>
          <w:bCs/>
          <w:color w:val="auto"/>
          <w:spacing w:val="-16"/>
          <w:sz w:val="32"/>
          <w:szCs w:val="32"/>
          <w:highlight w:val="none"/>
        </w:rPr>
        <w:t>质</w:t>
      </w:r>
      <w:r>
        <w:rPr>
          <w:rFonts w:ascii="宋体" w:hAnsi="宋体" w:eastAsia="宋体" w:cs="宋体"/>
          <w:color w:val="auto"/>
          <w:spacing w:val="18"/>
          <w:sz w:val="32"/>
          <w:szCs w:val="32"/>
          <w:highlight w:val="none"/>
        </w:rPr>
        <w:t xml:space="preserve"> </w:t>
      </w:r>
      <w:r>
        <w:rPr>
          <w:rFonts w:ascii="宋体" w:hAnsi="宋体" w:eastAsia="宋体" w:cs="宋体"/>
          <w:b/>
          <w:bCs/>
          <w:color w:val="auto"/>
          <w:spacing w:val="-16"/>
          <w:sz w:val="32"/>
          <w:szCs w:val="32"/>
          <w:highlight w:val="none"/>
        </w:rPr>
        <w:t>保</w:t>
      </w:r>
      <w:r>
        <w:rPr>
          <w:rFonts w:ascii="宋体" w:hAnsi="宋体" w:eastAsia="宋体" w:cs="宋体"/>
          <w:color w:val="auto"/>
          <w:spacing w:val="17"/>
          <w:sz w:val="32"/>
          <w:szCs w:val="32"/>
          <w:highlight w:val="none"/>
        </w:rPr>
        <w:t xml:space="preserve"> </w:t>
      </w:r>
      <w:r>
        <w:rPr>
          <w:rFonts w:ascii="宋体" w:hAnsi="宋体" w:eastAsia="宋体" w:cs="宋体"/>
          <w:b/>
          <w:bCs/>
          <w:color w:val="auto"/>
          <w:spacing w:val="-16"/>
          <w:sz w:val="32"/>
          <w:szCs w:val="32"/>
          <w:highlight w:val="none"/>
        </w:rPr>
        <w:t>承</w:t>
      </w:r>
      <w:r>
        <w:rPr>
          <w:rFonts w:ascii="宋体" w:hAnsi="宋体" w:eastAsia="宋体" w:cs="宋体"/>
          <w:color w:val="auto"/>
          <w:spacing w:val="17"/>
          <w:sz w:val="32"/>
          <w:szCs w:val="32"/>
          <w:highlight w:val="none"/>
        </w:rPr>
        <w:t xml:space="preserve"> </w:t>
      </w:r>
      <w:r>
        <w:rPr>
          <w:rFonts w:ascii="宋体" w:hAnsi="宋体" w:eastAsia="宋体" w:cs="宋体"/>
          <w:b/>
          <w:bCs/>
          <w:color w:val="auto"/>
          <w:spacing w:val="-16"/>
          <w:sz w:val="32"/>
          <w:szCs w:val="32"/>
          <w:highlight w:val="none"/>
        </w:rPr>
        <w:t>诺</w:t>
      </w:r>
      <w:r>
        <w:rPr>
          <w:rFonts w:ascii="宋体" w:hAnsi="宋体" w:eastAsia="宋体" w:cs="宋体"/>
          <w:color w:val="auto"/>
          <w:spacing w:val="23"/>
          <w:sz w:val="32"/>
          <w:szCs w:val="32"/>
          <w:highlight w:val="none"/>
        </w:rPr>
        <w:t xml:space="preserve"> </w:t>
      </w:r>
      <w:r>
        <w:rPr>
          <w:rFonts w:ascii="宋体" w:hAnsi="宋体" w:eastAsia="宋体" w:cs="宋体"/>
          <w:b/>
          <w:bCs/>
          <w:color w:val="auto"/>
          <w:spacing w:val="-16"/>
          <w:sz w:val="32"/>
          <w:szCs w:val="32"/>
          <w:highlight w:val="none"/>
        </w:rPr>
        <w:t>书</w:t>
      </w:r>
    </w:p>
    <w:p w14:paraId="6118AC1E">
      <w:pPr>
        <w:spacing w:line="440" w:lineRule="exac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u w:val="single"/>
          <w:lang w:val="en-US" w:eastAsia="zh-CN" w:bidi="ar"/>
        </w:rPr>
        <w:t>启东市吕四自来水厂有限公司</w:t>
      </w:r>
      <w:r>
        <w:rPr>
          <w:rFonts w:hint="eastAsia" w:ascii="宋体" w:hAnsi="宋体" w:eastAsia="宋体" w:cs="宋体"/>
          <w:color w:val="auto"/>
          <w:sz w:val="24"/>
          <w:szCs w:val="24"/>
          <w:highlight w:val="none"/>
          <w:lang w:val="en-US" w:eastAsia="zh-CN" w:bidi="ar"/>
        </w:rPr>
        <w:t>：</w:t>
      </w:r>
    </w:p>
    <w:p w14:paraId="32BB53FF">
      <w:pPr>
        <w:spacing w:line="440" w:lineRule="exact"/>
        <w:ind w:firstLine="480" w:firstLineChars="200"/>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u w:val="single"/>
          <w:lang w:val="en-US" w:eastAsia="zh-CN" w:bidi="ar"/>
        </w:rPr>
        <w:t>（报价供应商全称）授权（姓  名）（职  务）为全权代表，参加启东市洋吕铁路安置房（东区）二次供水泵房一标段（设备采购及安装项目）</w:t>
      </w:r>
      <w:r>
        <w:rPr>
          <w:rFonts w:hint="eastAsia" w:ascii="宋体" w:hAnsi="宋体" w:eastAsia="宋体" w:cs="宋体"/>
          <w:color w:val="auto"/>
          <w:sz w:val="24"/>
          <w:szCs w:val="24"/>
          <w:highlight w:val="none"/>
          <w:lang w:val="en-US" w:eastAsia="zh-CN" w:bidi="ar"/>
        </w:rPr>
        <w:t>的有关活动，并宣布同意如下：</w:t>
      </w:r>
    </w:p>
    <w:p w14:paraId="1AAEFBEC">
      <w:pPr>
        <w:spacing w:line="440" w:lineRule="exact"/>
        <w:ind w:firstLine="480" w:firstLineChars="200"/>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eastAsia="zh-CN" w:bidi="ar"/>
        </w:rPr>
        <w:t>我</w:t>
      </w:r>
      <w:r>
        <w:rPr>
          <w:rFonts w:hint="eastAsia" w:ascii="宋体" w:hAnsi="宋体" w:eastAsia="宋体" w:cs="宋体"/>
          <w:color w:val="auto"/>
          <w:sz w:val="24"/>
          <w:szCs w:val="24"/>
          <w:highlight w:val="none"/>
          <w:lang w:val="en-US" w:eastAsia="zh-CN" w:bidi="ar"/>
        </w:rPr>
        <w:t>方承诺对本项目所有货物提供符合采购需求、符合国家质量检测标准的原装合格产品，不低于《启东市供水企业居民住宅二次供水工程技术规程相关要求》。</w:t>
      </w:r>
    </w:p>
    <w:p w14:paraId="481347A7">
      <w:pPr>
        <w:spacing w:line="440" w:lineRule="exact"/>
        <w:ind w:firstLine="480" w:firstLineChars="200"/>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我方承诺对本项目所有货物的免费质保期6年（从验收合格之日算起），提供上门服务及全免费质保等售后服务。在免费保修期内，我方在接到用户单位电话维修通知后，在4小时内予以更换或维修完毕，确保不影响用户单位实际使用。未及时修复的，采购人有权另行安排其他队伍进行维修，所产生的维修费用从合同价款中直接扣除。超时或未在规定的时间内及时维修，每次罚2000元扣款。</w:t>
      </w:r>
    </w:p>
    <w:p w14:paraId="2050F1D9">
      <w:pPr>
        <w:spacing w:line="440" w:lineRule="exact"/>
        <w:ind w:firstLine="480" w:firstLineChars="200"/>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在质保期内，同一商品、同一质量问题连续两次维修仍无法正常使用，我方无条件给予全套更新或退货。合同履行过程中包括质保期内，如我方违约的，采购方有权在货款中直接扣除相应的款项。如货款不够支持本次损失费用，采购方有权向供货方索赔，且视质量、安装、调试、抢修、维护保养服务等过程中引起出现问题，造成的严重负面影响的将列入黑名单，不得再参与启东水司的采购项目。</w:t>
      </w:r>
    </w:p>
    <w:p w14:paraId="55741A1A">
      <w:pPr>
        <w:spacing w:line="440" w:lineRule="exact"/>
        <w:ind w:firstLine="480" w:firstLineChars="200"/>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4、你方有权对我方提供的货物进行市场监管和送样检测，如出现假冒伪劣产品，停止供货，对已供货物我方将无条件给予全套更新或退货，一切经济损失由我方自负。</w:t>
      </w:r>
    </w:p>
    <w:p w14:paraId="15E76A89">
      <w:pPr>
        <w:spacing w:line="440" w:lineRule="exact"/>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与本项目有关的一切往来通讯请寄：</w:t>
      </w:r>
    </w:p>
    <w:p w14:paraId="05373412">
      <w:pPr>
        <w:spacing w:line="440" w:lineRule="exact"/>
        <w:ind w:firstLine="480" w:firstLineChars="200"/>
        <w:rPr>
          <w:rFonts w:hint="eastAsia" w:ascii="宋体" w:hAnsi="宋体" w:eastAsia="宋体" w:cs="宋体"/>
          <w:color w:val="auto"/>
          <w:sz w:val="24"/>
          <w:szCs w:val="24"/>
          <w:highlight w:val="none"/>
          <w:lang w:bidi="ar"/>
        </w:rPr>
      </w:pPr>
    </w:p>
    <w:p w14:paraId="228FDFE3">
      <w:pPr>
        <w:spacing w:line="440" w:lineRule="exact"/>
        <w:ind w:firstLine="480" w:firstLineChars="200"/>
        <w:rPr>
          <w:rFonts w:hint="eastAsia" w:ascii="宋体" w:hAnsi="宋体" w:eastAsia="宋体" w:cs="宋体"/>
          <w:color w:val="auto"/>
          <w:sz w:val="24"/>
          <w:szCs w:val="24"/>
          <w:highlight w:val="none"/>
          <w:lang w:bidi="ar"/>
        </w:rPr>
      </w:pPr>
    </w:p>
    <w:p w14:paraId="4E5E2D2A">
      <w:pPr>
        <w:spacing w:line="440" w:lineRule="exact"/>
        <w:ind w:firstLine="480" w:firstLineChars="200"/>
        <w:rPr>
          <w:rFonts w:hint="eastAsia" w:ascii="宋体" w:hAnsi="宋体" w:eastAsia="宋体" w:cs="宋体"/>
          <w:color w:val="auto"/>
          <w:sz w:val="24"/>
          <w:szCs w:val="24"/>
          <w:highlight w:val="none"/>
          <w:lang w:bidi="ar"/>
        </w:rPr>
      </w:pPr>
    </w:p>
    <w:p w14:paraId="0199A7AA">
      <w:pPr>
        <w:adjustRightInd w:val="0"/>
        <w:spacing w:line="480" w:lineRule="auto"/>
        <w:ind w:left="3255" w:leftChars="1550" w:firstLine="210" w:firstLineChars="100"/>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单位名称(盖公章)：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7EF547B0">
      <w:pPr>
        <w:adjustRightInd w:val="0"/>
        <w:spacing w:line="48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6D9E00DF">
      <w:pPr>
        <w:spacing w:line="220" w:lineRule="auto"/>
        <w:rPr>
          <w:rFonts w:ascii="宋体" w:hAnsi="宋体" w:eastAsia="宋体" w:cs="宋体"/>
          <w:color w:val="auto"/>
          <w:sz w:val="28"/>
          <w:szCs w:val="28"/>
          <w:highlight w:val="none"/>
        </w:rPr>
        <w:sectPr>
          <w:footerReference r:id="rId5" w:type="default"/>
          <w:pgSz w:w="11907" w:h="16839"/>
          <w:pgMar w:top="1423" w:right="1340" w:bottom="1154" w:left="1597" w:header="0" w:footer="988" w:gutter="0"/>
          <w:pgNumType w:fmt="decimal"/>
          <w:cols w:space="720" w:num="1"/>
        </w:sectPr>
      </w:pPr>
    </w:p>
    <w:p w14:paraId="69B183DE">
      <w:pPr>
        <w:widowControl/>
        <w:spacing w:line="312"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5</w:t>
      </w:r>
    </w:p>
    <w:p w14:paraId="1991D0E3">
      <w:pPr>
        <w:spacing w:before="319" w:line="218" w:lineRule="auto"/>
        <w:ind w:left="2792"/>
        <w:outlineLvl w:val="2"/>
        <w:rPr>
          <w:rFonts w:ascii="宋体" w:hAnsi="宋体" w:eastAsia="宋体" w:cs="宋体"/>
          <w:color w:val="auto"/>
          <w:sz w:val="30"/>
          <w:szCs w:val="30"/>
          <w:highlight w:val="none"/>
        </w:rPr>
      </w:pPr>
      <w:r>
        <w:rPr>
          <w:rFonts w:ascii="宋体" w:hAnsi="宋体" w:eastAsia="宋体" w:cs="宋体"/>
          <w:b/>
          <w:bCs/>
          <w:color w:val="auto"/>
          <w:spacing w:val="-4"/>
          <w:sz w:val="30"/>
          <w:szCs w:val="30"/>
          <w:highlight w:val="none"/>
        </w:rPr>
        <w:t>报价货物采购要求响应表</w:t>
      </w:r>
    </w:p>
    <w:p w14:paraId="7606B214">
      <w:pPr>
        <w:pStyle w:val="3"/>
        <w:spacing w:line="298" w:lineRule="auto"/>
        <w:rPr>
          <w:color w:val="auto"/>
          <w:highlight w:val="none"/>
        </w:rPr>
      </w:pPr>
    </w:p>
    <w:p w14:paraId="08795B22">
      <w:pPr>
        <w:spacing w:before="78" w:line="219" w:lineRule="auto"/>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项目名称：启东市洋吕铁路安置房（东区）二次供水泵房一标段</w:t>
      </w:r>
    </w:p>
    <w:p w14:paraId="69B09F53">
      <w:pPr>
        <w:spacing w:before="78" w:line="219" w:lineRule="auto"/>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（设备采购及安装项目）</w:t>
      </w:r>
    </w:p>
    <w:tbl>
      <w:tblPr>
        <w:tblStyle w:val="41"/>
        <w:tblW w:w="89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524"/>
        <w:gridCol w:w="2687"/>
        <w:gridCol w:w="2435"/>
        <w:gridCol w:w="1504"/>
      </w:tblGrid>
      <w:tr w14:paraId="5B687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832" w:type="dxa"/>
            <w:vAlign w:val="top"/>
          </w:tcPr>
          <w:p w14:paraId="648E0E93">
            <w:pPr>
              <w:spacing w:line="250" w:lineRule="auto"/>
              <w:rPr>
                <w:rFonts w:ascii="Arial"/>
                <w:color w:val="auto"/>
                <w:sz w:val="21"/>
                <w:highlight w:val="none"/>
              </w:rPr>
            </w:pPr>
          </w:p>
          <w:p w14:paraId="6D0A868F">
            <w:pPr>
              <w:pStyle w:val="42"/>
              <w:spacing w:before="59" w:line="221" w:lineRule="auto"/>
              <w:ind w:left="238"/>
              <w:rPr>
                <w:color w:val="auto"/>
                <w:sz w:val="18"/>
                <w:szCs w:val="18"/>
                <w:highlight w:val="none"/>
              </w:rPr>
            </w:pPr>
            <w:r>
              <w:rPr>
                <w:b/>
                <w:bCs/>
                <w:color w:val="auto"/>
                <w:spacing w:val="-3"/>
                <w:sz w:val="18"/>
                <w:szCs w:val="18"/>
                <w:highlight w:val="none"/>
              </w:rPr>
              <w:t>序号</w:t>
            </w:r>
          </w:p>
        </w:tc>
        <w:tc>
          <w:tcPr>
            <w:tcW w:w="1524" w:type="dxa"/>
            <w:vAlign w:val="top"/>
          </w:tcPr>
          <w:p w14:paraId="0915B011">
            <w:pPr>
              <w:spacing w:line="250" w:lineRule="auto"/>
              <w:rPr>
                <w:rFonts w:ascii="Arial"/>
                <w:color w:val="auto"/>
                <w:sz w:val="21"/>
                <w:highlight w:val="none"/>
              </w:rPr>
            </w:pPr>
          </w:p>
          <w:p w14:paraId="061A2575">
            <w:pPr>
              <w:pStyle w:val="42"/>
              <w:spacing w:before="58" w:line="220" w:lineRule="auto"/>
              <w:ind w:left="403"/>
              <w:rPr>
                <w:color w:val="auto"/>
                <w:sz w:val="18"/>
                <w:szCs w:val="18"/>
                <w:highlight w:val="none"/>
              </w:rPr>
            </w:pPr>
            <w:r>
              <w:rPr>
                <w:rFonts w:hint="eastAsia"/>
                <w:b/>
                <w:bCs/>
                <w:color w:val="auto"/>
                <w:spacing w:val="-4"/>
                <w:sz w:val="18"/>
                <w:szCs w:val="18"/>
                <w:highlight w:val="none"/>
                <w:lang w:val="en-US" w:eastAsia="zh-CN"/>
              </w:rPr>
              <w:t>材料名称</w:t>
            </w:r>
          </w:p>
        </w:tc>
        <w:tc>
          <w:tcPr>
            <w:tcW w:w="2687" w:type="dxa"/>
            <w:vAlign w:val="top"/>
          </w:tcPr>
          <w:p w14:paraId="20A89968">
            <w:pPr>
              <w:spacing w:line="250" w:lineRule="auto"/>
              <w:rPr>
                <w:rFonts w:ascii="Arial"/>
                <w:color w:val="auto"/>
                <w:sz w:val="21"/>
                <w:highlight w:val="none"/>
              </w:rPr>
            </w:pPr>
          </w:p>
          <w:p w14:paraId="58BDF5C4">
            <w:pPr>
              <w:pStyle w:val="42"/>
              <w:spacing w:before="59" w:line="219" w:lineRule="auto"/>
              <w:ind w:left="624"/>
              <w:rPr>
                <w:color w:val="auto"/>
                <w:sz w:val="18"/>
                <w:szCs w:val="18"/>
                <w:highlight w:val="none"/>
              </w:rPr>
            </w:pPr>
            <w:r>
              <w:rPr>
                <w:b/>
                <w:bCs/>
                <w:color w:val="auto"/>
                <w:spacing w:val="-3"/>
                <w:sz w:val="18"/>
                <w:szCs w:val="18"/>
                <w:highlight w:val="none"/>
              </w:rPr>
              <w:t>采购</w:t>
            </w:r>
            <w:r>
              <w:rPr>
                <w:rFonts w:hint="eastAsia"/>
                <w:b/>
                <w:bCs/>
                <w:color w:val="auto"/>
                <w:spacing w:val="-3"/>
                <w:sz w:val="18"/>
                <w:szCs w:val="18"/>
                <w:highlight w:val="none"/>
                <w:lang w:val="en-US" w:eastAsia="zh-CN"/>
              </w:rPr>
              <w:t>性能</w:t>
            </w:r>
            <w:r>
              <w:rPr>
                <w:b/>
                <w:bCs/>
                <w:color w:val="auto"/>
                <w:spacing w:val="-3"/>
                <w:sz w:val="18"/>
                <w:szCs w:val="18"/>
                <w:highlight w:val="none"/>
              </w:rPr>
              <w:t>参数要求</w:t>
            </w:r>
          </w:p>
        </w:tc>
        <w:tc>
          <w:tcPr>
            <w:tcW w:w="2435" w:type="dxa"/>
            <w:vAlign w:val="top"/>
          </w:tcPr>
          <w:p w14:paraId="055E283E">
            <w:pPr>
              <w:spacing w:line="250" w:lineRule="auto"/>
              <w:rPr>
                <w:rFonts w:ascii="Arial"/>
                <w:color w:val="auto"/>
                <w:sz w:val="21"/>
                <w:highlight w:val="none"/>
              </w:rPr>
            </w:pPr>
          </w:p>
          <w:p w14:paraId="534811EE">
            <w:pPr>
              <w:pStyle w:val="42"/>
              <w:spacing w:before="59" w:line="218" w:lineRule="auto"/>
              <w:ind w:left="317"/>
              <w:rPr>
                <w:color w:val="auto"/>
                <w:sz w:val="18"/>
                <w:szCs w:val="18"/>
                <w:highlight w:val="none"/>
              </w:rPr>
            </w:pPr>
            <w:r>
              <w:rPr>
                <w:b/>
                <w:bCs/>
                <w:color w:val="auto"/>
                <w:spacing w:val="-2"/>
                <w:sz w:val="18"/>
                <w:szCs w:val="18"/>
                <w:highlight w:val="none"/>
              </w:rPr>
              <w:t>报价货物详细</w:t>
            </w:r>
            <w:r>
              <w:rPr>
                <w:rFonts w:hint="eastAsia"/>
                <w:b/>
                <w:bCs/>
                <w:color w:val="auto"/>
                <w:spacing w:val="-2"/>
                <w:sz w:val="18"/>
                <w:szCs w:val="18"/>
                <w:highlight w:val="none"/>
                <w:lang w:val="en-US" w:eastAsia="zh-CN"/>
              </w:rPr>
              <w:t>性能</w:t>
            </w:r>
            <w:r>
              <w:rPr>
                <w:b/>
                <w:bCs/>
                <w:color w:val="auto"/>
                <w:spacing w:val="-2"/>
                <w:sz w:val="18"/>
                <w:szCs w:val="18"/>
                <w:highlight w:val="none"/>
              </w:rPr>
              <w:t>参数</w:t>
            </w:r>
          </w:p>
        </w:tc>
        <w:tc>
          <w:tcPr>
            <w:tcW w:w="1504" w:type="dxa"/>
            <w:vAlign w:val="top"/>
          </w:tcPr>
          <w:p w14:paraId="42CE1D79">
            <w:pPr>
              <w:pStyle w:val="42"/>
              <w:spacing w:before="78" w:line="218" w:lineRule="auto"/>
              <w:ind w:left="122"/>
              <w:rPr>
                <w:color w:val="auto"/>
                <w:sz w:val="18"/>
                <w:szCs w:val="18"/>
                <w:highlight w:val="none"/>
              </w:rPr>
            </w:pPr>
            <w:r>
              <w:rPr>
                <w:b/>
                <w:bCs/>
                <w:color w:val="auto"/>
                <w:spacing w:val="-3"/>
                <w:sz w:val="18"/>
                <w:szCs w:val="18"/>
                <w:highlight w:val="none"/>
              </w:rPr>
              <w:t>报价设备参数响</w:t>
            </w:r>
          </w:p>
          <w:p w14:paraId="58DDA67B">
            <w:pPr>
              <w:pStyle w:val="42"/>
              <w:spacing w:before="20" w:line="230" w:lineRule="auto"/>
              <w:ind w:left="214" w:right="126" w:hanging="91"/>
              <w:rPr>
                <w:color w:val="auto"/>
                <w:sz w:val="18"/>
                <w:szCs w:val="18"/>
                <w:highlight w:val="none"/>
              </w:rPr>
            </w:pPr>
            <w:r>
              <w:rPr>
                <w:b/>
                <w:bCs/>
                <w:color w:val="auto"/>
                <w:spacing w:val="-4"/>
                <w:sz w:val="18"/>
                <w:szCs w:val="18"/>
                <w:highlight w:val="none"/>
              </w:rPr>
              <w:t>应（正偏离、满</w:t>
            </w:r>
            <w:r>
              <w:rPr>
                <w:color w:val="auto"/>
                <w:spacing w:val="2"/>
                <w:sz w:val="18"/>
                <w:szCs w:val="18"/>
                <w:highlight w:val="none"/>
              </w:rPr>
              <w:t xml:space="preserve"> </w:t>
            </w:r>
            <w:r>
              <w:rPr>
                <w:b/>
                <w:bCs/>
                <w:color w:val="auto"/>
                <w:spacing w:val="-5"/>
                <w:sz w:val="18"/>
                <w:szCs w:val="18"/>
                <w:highlight w:val="none"/>
              </w:rPr>
              <w:t>足、负偏离）</w:t>
            </w:r>
          </w:p>
        </w:tc>
      </w:tr>
      <w:tr w14:paraId="74D4E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832" w:type="dxa"/>
            <w:vAlign w:val="top"/>
          </w:tcPr>
          <w:p w14:paraId="7E18CBF4">
            <w:pPr>
              <w:rPr>
                <w:rFonts w:ascii="Arial"/>
                <w:color w:val="auto"/>
                <w:sz w:val="21"/>
                <w:highlight w:val="none"/>
              </w:rPr>
            </w:pPr>
          </w:p>
        </w:tc>
        <w:tc>
          <w:tcPr>
            <w:tcW w:w="1524" w:type="dxa"/>
            <w:vAlign w:val="top"/>
          </w:tcPr>
          <w:p w14:paraId="573EB6C9">
            <w:pPr>
              <w:rPr>
                <w:rFonts w:ascii="Arial"/>
                <w:color w:val="auto"/>
                <w:sz w:val="21"/>
                <w:highlight w:val="none"/>
              </w:rPr>
            </w:pPr>
          </w:p>
        </w:tc>
        <w:tc>
          <w:tcPr>
            <w:tcW w:w="2687" w:type="dxa"/>
            <w:vAlign w:val="top"/>
          </w:tcPr>
          <w:p w14:paraId="4388509D">
            <w:pPr>
              <w:rPr>
                <w:rFonts w:ascii="Arial"/>
                <w:color w:val="auto"/>
                <w:sz w:val="21"/>
                <w:highlight w:val="none"/>
              </w:rPr>
            </w:pPr>
          </w:p>
        </w:tc>
        <w:tc>
          <w:tcPr>
            <w:tcW w:w="2435" w:type="dxa"/>
            <w:vAlign w:val="top"/>
          </w:tcPr>
          <w:p w14:paraId="552C235D">
            <w:pPr>
              <w:rPr>
                <w:rFonts w:ascii="Arial"/>
                <w:color w:val="auto"/>
                <w:sz w:val="21"/>
                <w:highlight w:val="none"/>
              </w:rPr>
            </w:pPr>
          </w:p>
        </w:tc>
        <w:tc>
          <w:tcPr>
            <w:tcW w:w="1504" w:type="dxa"/>
            <w:vAlign w:val="top"/>
          </w:tcPr>
          <w:p w14:paraId="1E3956A4">
            <w:pPr>
              <w:rPr>
                <w:rFonts w:ascii="Arial"/>
                <w:color w:val="auto"/>
                <w:sz w:val="21"/>
                <w:highlight w:val="none"/>
              </w:rPr>
            </w:pPr>
          </w:p>
        </w:tc>
      </w:tr>
      <w:tr w14:paraId="0C054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832" w:type="dxa"/>
            <w:vAlign w:val="top"/>
          </w:tcPr>
          <w:p w14:paraId="43FE7A37">
            <w:pPr>
              <w:rPr>
                <w:rFonts w:ascii="Arial"/>
                <w:color w:val="auto"/>
                <w:sz w:val="21"/>
                <w:highlight w:val="none"/>
              </w:rPr>
            </w:pPr>
          </w:p>
        </w:tc>
        <w:tc>
          <w:tcPr>
            <w:tcW w:w="1524" w:type="dxa"/>
            <w:vAlign w:val="top"/>
          </w:tcPr>
          <w:p w14:paraId="4D070C43">
            <w:pPr>
              <w:rPr>
                <w:rFonts w:ascii="Arial"/>
                <w:color w:val="auto"/>
                <w:sz w:val="21"/>
                <w:highlight w:val="none"/>
              </w:rPr>
            </w:pPr>
          </w:p>
        </w:tc>
        <w:tc>
          <w:tcPr>
            <w:tcW w:w="2687" w:type="dxa"/>
            <w:vAlign w:val="top"/>
          </w:tcPr>
          <w:p w14:paraId="3A0E84B4">
            <w:pPr>
              <w:rPr>
                <w:rFonts w:ascii="Arial"/>
                <w:color w:val="auto"/>
                <w:sz w:val="21"/>
                <w:highlight w:val="none"/>
              </w:rPr>
            </w:pPr>
          </w:p>
        </w:tc>
        <w:tc>
          <w:tcPr>
            <w:tcW w:w="2435" w:type="dxa"/>
            <w:vAlign w:val="top"/>
          </w:tcPr>
          <w:p w14:paraId="09709B64">
            <w:pPr>
              <w:rPr>
                <w:rFonts w:ascii="Arial"/>
                <w:color w:val="auto"/>
                <w:sz w:val="21"/>
                <w:highlight w:val="none"/>
              </w:rPr>
            </w:pPr>
          </w:p>
        </w:tc>
        <w:tc>
          <w:tcPr>
            <w:tcW w:w="1504" w:type="dxa"/>
            <w:vAlign w:val="top"/>
          </w:tcPr>
          <w:p w14:paraId="4F225448">
            <w:pPr>
              <w:rPr>
                <w:rFonts w:ascii="Arial"/>
                <w:color w:val="auto"/>
                <w:sz w:val="21"/>
                <w:highlight w:val="none"/>
              </w:rPr>
            </w:pPr>
          </w:p>
        </w:tc>
      </w:tr>
      <w:tr w14:paraId="5646A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832" w:type="dxa"/>
            <w:vAlign w:val="top"/>
          </w:tcPr>
          <w:p w14:paraId="24463C65">
            <w:pPr>
              <w:rPr>
                <w:rFonts w:ascii="Arial"/>
                <w:color w:val="auto"/>
                <w:sz w:val="21"/>
                <w:highlight w:val="none"/>
              </w:rPr>
            </w:pPr>
          </w:p>
        </w:tc>
        <w:tc>
          <w:tcPr>
            <w:tcW w:w="1524" w:type="dxa"/>
            <w:vAlign w:val="top"/>
          </w:tcPr>
          <w:p w14:paraId="6806E7D3">
            <w:pPr>
              <w:rPr>
                <w:rFonts w:ascii="Arial"/>
                <w:color w:val="auto"/>
                <w:sz w:val="21"/>
                <w:highlight w:val="none"/>
              </w:rPr>
            </w:pPr>
          </w:p>
        </w:tc>
        <w:tc>
          <w:tcPr>
            <w:tcW w:w="2687" w:type="dxa"/>
            <w:vAlign w:val="top"/>
          </w:tcPr>
          <w:p w14:paraId="129E135C">
            <w:pPr>
              <w:rPr>
                <w:rFonts w:ascii="Arial"/>
                <w:color w:val="auto"/>
                <w:sz w:val="21"/>
                <w:highlight w:val="none"/>
              </w:rPr>
            </w:pPr>
          </w:p>
        </w:tc>
        <w:tc>
          <w:tcPr>
            <w:tcW w:w="2435" w:type="dxa"/>
            <w:vAlign w:val="top"/>
          </w:tcPr>
          <w:p w14:paraId="53D8A7B5">
            <w:pPr>
              <w:rPr>
                <w:rFonts w:ascii="Arial"/>
                <w:color w:val="auto"/>
                <w:sz w:val="21"/>
                <w:highlight w:val="none"/>
              </w:rPr>
            </w:pPr>
          </w:p>
        </w:tc>
        <w:tc>
          <w:tcPr>
            <w:tcW w:w="1504" w:type="dxa"/>
            <w:vAlign w:val="top"/>
          </w:tcPr>
          <w:p w14:paraId="7A264214">
            <w:pPr>
              <w:rPr>
                <w:rFonts w:ascii="Arial"/>
                <w:color w:val="auto"/>
                <w:sz w:val="21"/>
                <w:highlight w:val="none"/>
              </w:rPr>
            </w:pPr>
          </w:p>
        </w:tc>
      </w:tr>
      <w:tr w14:paraId="1C95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832" w:type="dxa"/>
            <w:vAlign w:val="top"/>
          </w:tcPr>
          <w:p w14:paraId="3B010EE5">
            <w:pPr>
              <w:rPr>
                <w:rFonts w:ascii="Arial"/>
                <w:color w:val="auto"/>
                <w:sz w:val="21"/>
                <w:highlight w:val="none"/>
              </w:rPr>
            </w:pPr>
          </w:p>
        </w:tc>
        <w:tc>
          <w:tcPr>
            <w:tcW w:w="1524" w:type="dxa"/>
            <w:vAlign w:val="top"/>
          </w:tcPr>
          <w:p w14:paraId="3E56406B">
            <w:pPr>
              <w:rPr>
                <w:rFonts w:ascii="Arial"/>
                <w:color w:val="auto"/>
                <w:sz w:val="21"/>
                <w:highlight w:val="none"/>
              </w:rPr>
            </w:pPr>
          </w:p>
        </w:tc>
        <w:tc>
          <w:tcPr>
            <w:tcW w:w="2687" w:type="dxa"/>
            <w:vAlign w:val="top"/>
          </w:tcPr>
          <w:p w14:paraId="42A82E2E">
            <w:pPr>
              <w:rPr>
                <w:rFonts w:ascii="Arial"/>
                <w:color w:val="auto"/>
                <w:sz w:val="21"/>
                <w:highlight w:val="none"/>
              </w:rPr>
            </w:pPr>
          </w:p>
        </w:tc>
        <w:tc>
          <w:tcPr>
            <w:tcW w:w="2435" w:type="dxa"/>
            <w:vAlign w:val="top"/>
          </w:tcPr>
          <w:p w14:paraId="76530EE7">
            <w:pPr>
              <w:rPr>
                <w:rFonts w:ascii="Arial"/>
                <w:color w:val="auto"/>
                <w:sz w:val="21"/>
                <w:highlight w:val="none"/>
              </w:rPr>
            </w:pPr>
          </w:p>
        </w:tc>
        <w:tc>
          <w:tcPr>
            <w:tcW w:w="1504" w:type="dxa"/>
            <w:vAlign w:val="top"/>
          </w:tcPr>
          <w:p w14:paraId="6DB79008">
            <w:pPr>
              <w:rPr>
                <w:rFonts w:ascii="Arial"/>
                <w:color w:val="auto"/>
                <w:sz w:val="21"/>
                <w:highlight w:val="none"/>
              </w:rPr>
            </w:pPr>
          </w:p>
        </w:tc>
      </w:tr>
      <w:tr w14:paraId="74464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832" w:type="dxa"/>
            <w:vAlign w:val="top"/>
          </w:tcPr>
          <w:p w14:paraId="606F5EBC">
            <w:pPr>
              <w:rPr>
                <w:rFonts w:ascii="Arial"/>
                <w:color w:val="auto"/>
                <w:sz w:val="21"/>
                <w:highlight w:val="none"/>
              </w:rPr>
            </w:pPr>
          </w:p>
        </w:tc>
        <w:tc>
          <w:tcPr>
            <w:tcW w:w="1524" w:type="dxa"/>
            <w:vAlign w:val="top"/>
          </w:tcPr>
          <w:p w14:paraId="236CFEF6">
            <w:pPr>
              <w:rPr>
                <w:rFonts w:ascii="Arial"/>
                <w:color w:val="auto"/>
                <w:sz w:val="21"/>
                <w:highlight w:val="none"/>
              </w:rPr>
            </w:pPr>
          </w:p>
        </w:tc>
        <w:tc>
          <w:tcPr>
            <w:tcW w:w="2687" w:type="dxa"/>
            <w:vAlign w:val="top"/>
          </w:tcPr>
          <w:p w14:paraId="74428821">
            <w:pPr>
              <w:rPr>
                <w:rFonts w:ascii="Arial"/>
                <w:color w:val="auto"/>
                <w:sz w:val="21"/>
                <w:highlight w:val="none"/>
              </w:rPr>
            </w:pPr>
          </w:p>
        </w:tc>
        <w:tc>
          <w:tcPr>
            <w:tcW w:w="2435" w:type="dxa"/>
            <w:vAlign w:val="top"/>
          </w:tcPr>
          <w:p w14:paraId="588281A9">
            <w:pPr>
              <w:rPr>
                <w:rFonts w:ascii="Arial"/>
                <w:color w:val="auto"/>
                <w:sz w:val="21"/>
                <w:highlight w:val="none"/>
              </w:rPr>
            </w:pPr>
          </w:p>
        </w:tc>
        <w:tc>
          <w:tcPr>
            <w:tcW w:w="1504" w:type="dxa"/>
            <w:vAlign w:val="top"/>
          </w:tcPr>
          <w:p w14:paraId="324A9E37">
            <w:pPr>
              <w:rPr>
                <w:rFonts w:ascii="Arial"/>
                <w:color w:val="auto"/>
                <w:sz w:val="21"/>
                <w:highlight w:val="none"/>
              </w:rPr>
            </w:pPr>
          </w:p>
        </w:tc>
      </w:tr>
      <w:tr w14:paraId="2F93B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832" w:type="dxa"/>
            <w:vAlign w:val="top"/>
          </w:tcPr>
          <w:p w14:paraId="7B052AE0">
            <w:pPr>
              <w:rPr>
                <w:rFonts w:ascii="Arial"/>
                <w:color w:val="auto"/>
                <w:sz w:val="21"/>
                <w:highlight w:val="none"/>
              </w:rPr>
            </w:pPr>
          </w:p>
        </w:tc>
        <w:tc>
          <w:tcPr>
            <w:tcW w:w="1524" w:type="dxa"/>
            <w:vAlign w:val="top"/>
          </w:tcPr>
          <w:p w14:paraId="08233AA4">
            <w:pPr>
              <w:rPr>
                <w:rFonts w:ascii="Arial"/>
                <w:color w:val="auto"/>
                <w:sz w:val="21"/>
                <w:highlight w:val="none"/>
              </w:rPr>
            </w:pPr>
          </w:p>
        </w:tc>
        <w:tc>
          <w:tcPr>
            <w:tcW w:w="2687" w:type="dxa"/>
            <w:vAlign w:val="top"/>
          </w:tcPr>
          <w:p w14:paraId="5ADA4789">
            <w:pPr>
              <w:rPr>
                <w:rFonts w:ascii="Arial"/>
                <w:color w:val="auto"/>
                <w:sz w:val="21"/>
                <w:highlight w:val="none"/>
              </w:rPr>
            </w:pPr>
          </w:p>
        </w:tc>
        <w:tc>
          <w:tcPr>
            <w:tcW w:w="2435" w:type="dxa"/>
            <w:vAlign w:val="top"/>
          </w:tcPr>
          <w:p w14:paraId="66734326">
            <w:pPr>
              <w:rPr>
                <w:rFonts w:ascii="Arial"/>
                <w:color w:val="auto"/>
                <w:sz w:val="21"/>
                <w:highlight w:val="none"/>
              </w:rPr>
            </w:pPr>
          </w:p>
        </w:tc>
        <w:tc>
          <w:tcPr>
            <w:tcW w:w="1504" w:type="dxa"/>
            <w:vAlign w:val="top"/>
          </w:tcPr>
          <w:p w14:paraId="03CAE5CF">
            <w:pPr>
              <w:rPr>
                <w:rFonts w:ascii="Arial"/>
                <w:color w:val="auto"/>
                <w:sz w:val="21"/>
                <w:highlight w:val="none"/>
              </w:rPr>
            </w:pPr>
          </w:p>
        </w:tc>
      </w:tr>
      <w:tr w14:paraId="2650D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832" w:type="dxa"/>
            <w:vAlign w:val="top"/>
          </w:tcPr>
          <w:p w14:paraId="791CCA4B">
            <w:pPr>
              <w:rPr>
                <w:rFonts w:ascii="Arial"/>
                <w:color w:val="auto"/>
                <w:sz w:val="21"/>
                <w:highlight w:val="none"/>
              </w:rPr>
            </w:pPr>
          </w:p>
        </w:tc>
        <w:tc>
          <w:tcPr>
            <w:tcW w:w="1524" w:type="dxa"/>
            <w:vAlign w:val="top"/>
          </w:tcPr>
          <w:p w14:paraId="044E5C0A">
            <w:pPr>
              <w:rPr>
                <w:rFonts w:ascii="Arial"/>
                <w:color w:val="auto"/>
                <w:sz w:val="21"/>
                <w:highlight w:val="none"/>
              </w:rPr>
            </w:pPr>
          </w:p>
        </w:tc>
        <w:tc>
          <w:tcPr>
            <w:tcW w:w="2687" w:type="dxa"/>
            <w:vAlign w:val="top"/>
          </w:tcPr>
          <w:p w14:paraId="61B13A97">
            <w:pPr>
              <w:rPr>
                <w:rFonts w:ascii="Arial"/>
                <w:color w:val="auto"/>
                <w:sz w:val="21"/>
                <w:highlight w:val="none"/>
              </w:rPr>
            </w:pPr>
          </w:p>
        </w:tc>
        <w:tc>
          <w:tcPr>
            <w:tcW w:w="2435" w:type="dxa"/>
            <w:vAlign w:val="top"/>
          </w:tcPr>
          <w:p w14:paraId="221A4E41">
            <w:pPr>
              <w:rPr>
                <w:rFonts w:ascii="Arial"/>
                <w:color w:val="auto"/>
                <w:sz w:val="21"/>
                <w:highlight w:val="none"/>
              </w:rPr>
            </w:pPr>
          </w:p>
        </w:tc>
        <w:tc>
          <w:tcPr>
            <w:tcW w:w="1504" w:type="dxa"/>
            <w:vAlign w:val="top"/>
          </w:tcPr>
          <w:p w14:paraId="7F3D27B8">
            <w:pPr>
              <w:rPr>
                <w:rFonts w:ascii="Arial"/>
                <w:color w:val="auto"/>
                <w:sz w:val="21"/>
                <w:highlight w:val="none"/>
              </w:rPr>
            </w:pPr>
          </w:p>
        </w:tc>
      </w:tr>
      <w:tr w14:paraId="75C49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832" w:type="dxa"/>
            <w:vAlign w:val="top"/>
          </w:tcPr>
          <w:p w14:paraId="742D4652">
            <w:pPr>
              <w:rPr>
                <w:rFonts w:ascii="Arial"/>
                <w:color w:val="auto"/>
                <w:sz w:val="21"/>
                <w:highlight w:val="none"/>
              </w:rPr>
            </w:pPr>
          </w:p>
        </w:tc>
        <w:tc>
          <w:tcPr>
            <w:tcW w:w="1524" w:type="dxa"/>
            <w:vAlign w:val="top"/>
          </w:tcPr>
          <w:p w14:paraId="0625237F">
            <w:pPr>
              <w:rPr>
                <w:rFonts w:ascii="Arial"/>
                <w:color w:val="auto"/>
                <w:sz w:val="21"/>
                <w:highlight w:val="none"/>
              </w:rPr>
            </w:pPr>
          </w:p>
        </w:tc>
        <w:tc>
          <w:tcPr>
            <w:tcW w:w="2687" w:type="dxa"/>
            <w:vAlign w:val="top"/>
          </w:tcPr>
          <w:p w14:paraId="59C5CF77">
            <w:pPr>
              <w:rPr>
                <w:rFonts w:ascii="Arial"/>
                <w:color w:val="auto"/>
                <w:sz w:val="21"/>
                <w:highlight w:val="none"/>
              </w:rPr>
            </w:pPr>
          </w:p>
        </w:tc>
        <w:tc>
          <w:tcPr>
            <w:tcW w:w="2435" w:type="dxa"/>
            <w:vAlign w:val="top"/>
          </w:tcPr>
          <w:p w14:paraId="3F98FA68">
            <w:pPr>
              <w:rPr>
                <w:rFonts w:ascii="Arial"/>
                <w:color w:val="auto"/>
                <w:sz w:val="21"/>
                <w:highlight w:val="none"/>
              </w:rPr>
            </w:pPr>
          </w:p>
        </w:tc>
        <w:tc>
          <w:tcPr>
            <w:tcW w:w="1504" w:type="dxa"/>
            <w:vAlign w:val="top"/>
          </w:tcPr>
          <w:p w14:paraId="1EDD7118">
            <w:pPr>
              <w:rPr>
                <w:rFonts w:ascii="Arial"/>
                <w:color w:val="auto"/>
                <w:sz w:val="21"/>
                <w:highlight w:val="none"/>
              </w:rPr>
            </w:pPr>
          </w:p>
        </w:tc>
      </w:tr>
      <w:tr w14:paraId="2FCF7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832" w:type="dxa"/>
            <w:vAlign w:val="top"/>
          </w:tcPr>
          <w:p w14:paraId="4A2E7D35">
            <w:pPr>
              <w:rPr>
                <w:rFonts w:ascii="Arial"/>
                <w:color w:val="auto"/>
                <w:sz w:val="21"/>
                <w:highlight w:val="none"/>
              </w:rPr>
            </w:pPr>
          </w:p>
        </w:tc>
        <w:tc>
          <w:tcPr>
            <w:tcW w:w="1524" w:type="dxa"/>
            <w:vAlign w:val="top"/>
          </w:tcPr>
          <w:p w14:paraId="0B305E5E">
            <w:pPr>
              <w:rPr>
                <w:rFonts w:ascii="Arial"/>
                <w:color w:val="auto"/>
                <w:sz w:val="21"/>
                <w:highlight w:val="none"/>
              </w:rPr>
            </w:pPr>
          </w:p>
        </w:tc>
        <w:tc>
          <w:tcPr>
            <w:tcW w:w="2687" w:type="dxa"/>
            <w:vAlign w:val="top"/>
          </w:tcPr>
          <w:p w14:paraId="4B9B383E">
            <w:pPr>
              <w:rPr>
                <w:rFonts w:ascii="Arial"/>
                <w:color w:val="auto"/>
                <w:sz w:val="21"/>
                <w:highlight w:val="none"/>
              </w:rPr>
            </w:pPr>
          </w:p>
        </w:tc>
        <w:tc>
          <w:tcPr>
            <w:tcW w:w="2435" w:type="dxa"/>
            <w:vAlign w:val="top"/>
          </w:tcPr>
          <w:p w14:paraId="5F9FF2D5">
            <w:pPr>
              <w:rPr>
                <w:rFonts w:ascii="Arial"/>
                <w:color w:val="auto"/>
                <w:sz w:val="21"/>
                <w:highlight w:val="none"/>
              </w:rPr>
            </w:pPr>
          </w:p>
        </w:tc>
        <w:tc>
          <w:tcPr>
            <w:tcW w:w="1504" w:type="dxa"/>
            <w:vAlign w:val="top"/>
          </w:tcPr>
          <w:p w14:paraId="06EB3D80">
            <w:pPr>
              <w:rPr>
                <w:rFonts w:ascii="Arial"/>
                <w:color w:val="auto"/>
                <w:sz w:val="21"/>
                <w:highlight w:val="none"/>
              </w:rPr>
            </w:pPr>
          </w:p>
        </w:tc>
      </w:tr>
      <w:tr w14:paraId="2C954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832" w:type="dxa"/>
            <w:vAlign w:val="top"/>
          </w:tcPr>
          <w:p w14:paraId="2C64942F">
            <w:pPr>
              <w:rPr>
                <w:rFonts w:ascii="Arial"/>
                <w:color w:val="auto"/>
                <w:sz w:val="21"/>
                <w:highlight w:val="none"/>
              </w:rPr>
            </w:pPr>
          </w:p>
        </w:tc>
        <w:tc>
          <w:tcPr>
            <w:tcW w:w="1524" w:type="dxa"/>
            <w:vAlign w:val="top"/>
          </w:tcPr>
          <w:p w14:paraId="1B740356">
            <w:pPr>
              <w:rPr>
                <w:rFonts w:ascii="Arial"/>
                <w:color w:val="auto"/>
                <w:sz w:val="21"/>
                <w:highlight w:val="none"/>
              </w:rPr>
            </w:pPr>
          </w:p>
        </w:tc>
        <w:tc>
          <w:tcPr>
            <w:tcW w:w="2687" w:type="dxa"/>
            <w:vAlign w:val="top"/>
          </w:tcPr>
          <w:p w14:paraId="2127AE06">
            <w:pPr>
              <w:rPr>
                <w:rFonts w:ascii="Arial"/>
                <w:color w:val="auto"/>
                <w:sz w:val="21"/>
                <w:highlight w:val="none"/>
              </w:rPr>
            </w:pPr>
          </w:p>
        </w:tc>
        <w:tc>
          <w:tcPr>
            <w:tcW w:w="2435" w:type="dxa"/>
            <w:vAlign w:val="top"/>
          </w:tcPr>
          <w:p w14:paraId="344B965A">
            <w:pPr>
              <w:rPr>
                <w:rFonts w:ascii="Arial"/>
                <w:color w:val="auto"/>
                <w:sz w:val="21"/>
                <w:highlight w:val="none"/>
              </w:rPr>
            </w:pPr>
          </w:p>
        </w:tc>
        <w:tc>
          <w:tcPr>
            <w:tcW w:w="1504" w:type="dxa"/>
            <w:vAlign w:val="top"/>
          </w:tcPr>
          <w:p w14:paraId="4F3B188E">
            <w:pPr>
              <w:rPr>
                <w:rFonts w:ascii="Arial"/>
                <w:color w:val="auto"/>
                <w:sz w:val="21"/>
                <w:highlight w:val="none"/>
              </w:rPr>
            </w:pPr>
          </w:p>
        </w:tc>
      </w:tr>
      <w:tr w14:paraId="55CD3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832" w:type="dxa"/>
            <w:vAlign w:val="top"/>
          </w:tcPr>
          <w:p w14:paraId="229B47BE">
            <w:pPr>
              <w:rPr>
                <w:rFonts w:ascii="Arial"/>
                <w:color w:val="auto"/>
                <w:sz w:val="21"/>
                <w:highlight w:val="none"/>
              </w:rPr>
            </w:pPr>
          </w:p>
        </w:tc>
        <w:tc>
          <w:tcPr>
            <w:tcW w:w="1524" w:type="dxa"/>
            <w:vAlign w:val="top"/>
          </w:tcPr>
          <w:p w14:paraId="1BF03213">
            <w:pPr>
              <w:rPr>
                <w:rFonts w:ascii="Arial"/>
                <w:color w:val="auto"/>
                <w:sz w:val="21"/>
                <w:highlight w:val="none"/>
              </w:rPr>
            </w:pPr>
          </w:p>
        </w:tc>
        <w:tc>
          <w:tcPr>
            <w:tcW w:w="2687" w:type="dxa"/>
            <w:vAlign w:val="top"/>
          </w:tcPr>
          <w:p w14:paraId="4222DB38">
            <w:pPr>
              <w:rPr>
                <w:rFonts w:ascii="Arial"/>
                <w:color w:val="auto"/>
                <w:sz w:val="21"/>
                <w:highlight w:val="none"/>
              </w:rPr>
            </w:pPr>
          </w:p>
        </w:tc>
        <w:tc>
          <w:tcPr>
            <w:tcW w:w="2435" w:type="dxa"/>
            <w:vAlign w:val="top"/>
          </w:tcPr>
          <w:p w14:paraId="6F3E7BC8">
            <w:pPr>
              <w:rPr>
                <w:rFonts w:ascii="Arial"/>
                <w:color w:val="auto"/>
                <w:sz w:val="21"/>
                <w:highlight w:val="none"/>
              </w:rPr>
            </w:pPr>
          </w:p>
        </w:tc>
        <w:tc>
          <w:tcPr>
            <w:tcW w:w="1504" w:type="dxa"/>
            <w:vAlign w:val="top"/>
          </w:tcPr>
          <w:p w14:paraId="05793AF5">
            <w:pPr>
              <w:rPr>
                <w:rFonts w:ascii="Arial"/>
                <w:color w:val="auto"/>
                <w:sz w:val="21"/>
                <w:highlight w:val="none"/>
              </w:rPr>
            </w:pPr>
          </w:p>
        </w:tc>
      </w:tr>
      <w:tr w14:paraId="5E3C7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832" w:type="dxa"/>
            <w:vAlign w:val="top"/>
          </w:tcPr>
          <w:p w14:paraId="1958880C">
            <w:pPr>
              <w:pStyle w:val="42"/>
              <w:spacing w:before="159" w:line="332" w:lineRule="exact"/>
              <w:ind w:left="328"/>
              <w:rPr>
                <w:color w:val="auto"/>
                <w:sz w:val="21"/>
                <w:szCs w:val="21"/>
                <w:highlight w:val="none"/>
              </w:rPr>
            </w:pPr>
            <w:r>
              <w:rPr>
                <w:b/>
                <w:bCs/>
                <w:color w:val="auto"/>
                <w:spacing w:val="-3"/>
                <w:position w:val="2"/>
                <w:sz w:val="21"/>
                <w:szCs w:val="21"/>
                <w:highlight w:val="none"/>
              </w:rPr>
              <w:t>…</w:t>
            </w:r>
          </w:p>
        </w:tc>
        <w:tc>
          <w:tcPr>
            <w:tcW w:w="1524" w:type="dxa"/>
            <w:vAlign w:val="top"/>
          </w:tcPr>
          <w:p w14:paraId="49F6794F">
            <w:pPr>
              <w:pStyle w:val="42"/>
              <w:spacing w:before="159" w:line="332" w:lineRule="exact"/>
              <w:ind w:left="566"/>
              <w:rPr>
                <w:color w:val="auto"/>
                <w:sz w:val="21"/>
                <w:szCs w:val="21"/>
                <w:highlight w:val="none"/>
              </w:rPr>
            </w:pPr>
            <w:r>
              <w:rPr>
                <w:b/>
                <w:bCs/>
                <w:color w:val="auto"/>
                <w:spacing w:val="-7"/>
                <w:position w:val="2"/>
                <w:sz w:val="21"/>
                <w:szCs w:val="21"/>
                <w:highlight w:val="none"/>
              </w:rPr>
              <w:t>……</w:t>
            </w:r>
          </w:p>
        </w:tc>
        <w:tc>
          <w:tcPr>
            <w:tcW w:w="2687" w:type="dxa"/>
            <w:vAlign w:val="top"/>
          </w:tcPr>
          <w:p w14:paraId="2CF68154">
            <w:pPr>
              <w:rPr>
                <w:rFonts w:ascii="Arial"/>
                <w:color w:val="auto"/>
                <w:sz w:val="21"/>
                <w:highlight w:val="none"/>
              </w:rPr>
            </w:pPr>
          </w:p>
        </w:tc>
        <w:tc>
          <w:tcPr>
            <w:tcW w:w="2435" w:type="dxa"/>
            <w:vAlign w:val="top"/>
          </w:tcPr>
          <w:p w14:paraId="3BBF4E71">
            <w:pPr>
              <w:rPr>
                <w:rFonts w:ascii="Arial"/>
                <w:color w:val="auto"/>
                <w:sz w:val="21"/>
                <w:highlight w:val="none"/>
              </w:rPr>
            </w:pPr>
          </w:p>
        </w:tc>
        <w:tc>
          <w:tcPr>
            <w:tcW w:w="1504" w:type="dxa"/>
            <w:vAlign w:val="top"/>
          </w:tcPr>
          <w:p w14:paraId="3E2F5F8E">
            <w:pPr>
              <w:rPr>
                <w:rFonts w:ascii="Arial"/>
                <w:color w:val="auto"/>
                <w:sz w:val="21"/>
                <w:highlight w:val="none"/>
              </w:rPr>
            </w:pPr>
          </w:p>
        </w:tc>
      </w:tr>
    </w:tbl>
    <w:p w14:paraId="0FF76B4F">
      <w:pPr>
        <w:pStyle w:val="3"/>
        <w:spacing w:line="244" w:lineRule="auto"/>
        <w:rPr>
          <w:color w:val="auto"/>
          <w:highlight w:val="none"/>
        </w:rPr>
      </w:pPr>
    </w:p>
    <w:p w14:paraId="097C07FC">
      <w:pPr>
        <w:pStyle w:val="3"/>
        <w:spacing w:line="244" w:lineRule="auto"/>
        <w:rPr>
          <w:color w:val="auto"/>
          <w:highlight w:val="none"/>
        </w:rPr>
      </w:pPr>
    </w:p>
    <w:p w14:paraId="1D5D5033">
      <w:pPr>
        <w:spacing w:before="91" w:line="219" w:lineRule="auto"/>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供应商（盖公章</w:t>
      </w:r>
      <w:r>
        <w:rPr>
          <w:rFonts w:ascii="宋体" w:hAnsi="宋体" w:eastAsia="宋体" w:cs="宋体"/>
          <w:color w:val="auto"/>
          <w:spacing w:val="1"/>
          <w:sz w:val="28"/>
          <w:szCs w:val="28"/>
          <w:highlight w:val="none"/>
        </w:rPr>
        <w:t>）：</w:t>
      </w:r>
    </w:p>
    <w:p w14:paraId="7DD47CB2">
      <w:pPr>
        <w:spacing w:before="213" w:line="219" w:lineRule="auto"/>
        <w:ind w:left="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法定代表人或被授权人（签字或盖章</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u w:val="single" w:color="auto"/>
        </w:rPr>
        <w:t xml:space="preserve">         </w:t>
      </w:r>
    </w:p>
    <w:p w14:paraId="0323FE33">
      <w:pPr>
        <w:spacing w:before="212" w:line="220" w:lineRule="auto"/>
        <w:ind w:left="48"/>
        <w:rPr>
          <w:rFonts w:ascii="宋体" w:hAnsi="宋体" w:eastAsia="宋体" w:cs="宋体"/>
          <w:color w:val="auto"/>
          <w:sz w:val="28"/>
          <w:szCs w:val="28"/>
          <w:highlight w:val="none"/>
        </w:rPr>
      </w:pPr>
      <w:r>
        <w:rPr>
          <w:rFonts w:ascii="宋体" w:hAnsi="宋体" w:eastAsia="宋体" w:cs="宋体"/>
          <w:color w:val="auto"/>
          <w:spacing w:val="-15"/>
          <w:sz w:val="28"/>
          <w:szCs w:val="28"/>
          <w:highlight w:val="none"/>
        </w:rPr>
        <w:t>日期：</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25"/>
          <w:sz w:val="28"/>
          <w:szCs w:val="28"/>
          <w:highlight w:val="none"/>
        </w:rPr>
        <w:t xml:space="preserve"> </w:t>
      </w:r>
      <w:r>
        <w:rPr>
          <w:rFonts w:ascii="宋体" w:hAnsi="宋体" w:eastAsia="宋体" w:cs="宋体"/>
          <w:color w:val="auto"/>
          <w:spacing w:val="-15"/>
          <w:sz w:val="28"/>
          <w:szCs w:val="28"/>
          <w:highlight w:val="none"/>
        </w:rPr>
        <w:t>年</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120"/>
          <w:sz w:val="28"/>
          <w:szCs w:val="28"/>
          <w:highlight w:val="none"/>
        </w:rPr>
        <w:t xml:space="preserve"> </w:t>
      </w:r>
      <w:r>
        <w:rPr>
          <w:rFonts w:ascii="宋体" w:hAnsi="宋体" w:eastAsia="宋体" w:cs="宋体"/>
          <w:color w:val="auto"/>
          <w:spacing w:val="-15"/>
          <w:sz w:val="28"/>
          <w:szCs w:val="28"/>
          <w:highlight w:val="none"/>
        </w:rPr>
        <w:t>月</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80"/>
          <w:sz w:val="28"/>
          <w:szCs w:val="28"/>
          <w:highlight w:val="none"/>
        </w:rPr>
        <w:t xml:space="preserve"> </w:t>
      </w:r>
      <w:r>
        <w:rPr>
          <w:rFonts w:ascii="宋体" w:hAnsi="宋体" w:eastAsia="宋体" w:cs="宋体"/>
          <w:color w:val="auto"/>
          <w:spacing w:val="-15"/>
          <w:sz w:val="28"/>
          <w:szCs w:val="28"/>
          <w:highlight w:val="none"/>
        </w:rPr>
        <w:t>日</w:t>
      </w:r>
    </w:p>
    <w:p w14:paraId="035A0B2D">
      <w:pPr>
        <w:spacing w:line="220" w:lineRule="auto"/>
        <w:rPr>
          <w:rFonts w:ascii="宋体" w:hAnsi="宋体" w:eastAsia="宋体" w:cs="宋体"/>
          <w:color w:val="auto"/>
          <w:sz w:val="28"/>
          <w:szCs w:val="28"/>
          <w:highlight w:val="none"/>
        </w:rPr>
        <w:sectPr>
          <w:footerReference r:id="rId6" w:type="default"/>
          <w:pgSz w:w="11907" w:h="16839"/>
          <w:pgMar w:top="1421" w:right="1219" w:bottom="1154" w:left="1597" w:header="0" w:footer="988" w:gutter="0"/>
          <w:pgNumType w:fmt="decimal"/>
          <w:cols w:space="720" w:num="1"/>
        </w:sectPr>
      </w:pPr>
    </w:p>
    <w:p w14:paraId="2CA4B063">
      <w:pPr>
        <w:snapToGrid w:val="0"/>
        <w:spacing w:line="300" w:lineRule="auto"/>
        <w:jc w:val="left"/>
        <w:outlineLvl w:val="0"/>
        <w:rPr>
          <w:rFonts w:hint="default" w:ascii="宋体" w:hAnsi="宋体" w:eastAsia="宋体" w:cs="宋体"/>
          <w:b/>
          <w:bCs/>
          <w:color w:val="auto"/>
          <w:sz w:val="28"/>
          <w:szCs w:val="28"/>
          <w:highlight w:val="none"/>
          <w:lang w:val="en-US" w:bidi="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6</w:t>
      </w:r>
    </w:p>
    <w:p w14:paraId="25055530">
      <w:pPr>
        <w:spacing w:before="162" w:line="224" w:lineRule="auto"/>
        <w:ind w:left="3994"/>
        <w:outlineLvl w:val="2"/>
        <w:rPr>
          <w:rFonts w:ascii="宋体" w:hAnsi="宋体" w:eastAsia="宋体" w:cs="宋体"/>
          <w:b/>
          <w:bCs/>
          <w:color w:val="auto"/>
          <w:spacing w:val="5"/>
          <w:sz w:val="31"/>
          <w:szCs w:val="31"/>
          <w:highlight w:val="none"/>
        </w:rPr>
      </w:pPr>
      <w:r>
        <w:rPr>
          <w:rFonts w:ascii="宋体" w:hAnsi="宋体" w:eastAsia="宋体" w:cs="宋体"/>
          <w:b/>
          <w:bCs/>
          <w:color w:val="auto"/>
          <w:spacing w:val="5"/>
          <w:sz w:val="31"/>
          <w:szCs w:val="31"/>
          <w:highlight w:val="none"/>
        </w:rPr>
        <w:t>报价表</w:t>
      </w:r>
    </w:p>
    <w:p w14:paraId="7A343C5E">
      <w:pPr>
        <w:pStyle w:val="3"/>
        <w:ind w:firstLine="280" w:firstLineChars="100"/>
        <w:rPr>
          <w:rFonts w:hint="eastAsia" w:eastAsia="宋体"/>
          <w:color w:val="auto"/>
          <w:sz w:val="28"/>
          <w:szCs w:val="28"/>
          <w:highlight w:val="none"/>
          <w:lang w:val="en-US" w:eastAsia="zh-CN"/>
        </w:rPr>
      </w:pPr>
    </w:p>
    <w:p w14:paraId="460DD7B3">
      <w:pPr>
        <w:pStyle w:val="3"/>
        <w:jc w:val="center"/>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项目名称：启东市洋吕铁路安置房（东区）二次供水泵房一标段</w:t>
      </w:r>
    </w:p>
    <w:p w14:paraId="1E162D33">
      <w:pPr>
        <w:pStyle w:val="3"/>
        <w:jc w:val="center"/>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（设备采购及安装项目）</w:t>
      </w:r>
    </w:p>
    <w:tbl>
      <w:tblPr>
        <w:tblStyle w:val="16"/>
        <w:tblW w:w="9469" w:type="dxa"/>
        <w:jc w:val="center"/>
        <w:tblLayout w:type="fixed"/>
        <w:tblCellMar>
          <w:top w:w="0" w:type="dxa"/>
          <w:left w:w="108" w:type="dxa"/>
          <w:bottom w:w="0" w:type="dxa"/>
          <w:right w:w="108" w:type="dxa"/>
        </w:tblCellMar>
      </w:tblPr>
      <w:tblGrid>
        <w:gridCol w:w="850"/>
        <w:gridCol w:w="1165"/>
        <w:gridCol w:w="1621"/>
        <w:gridCol w:w="709"/>
        <w:gridCol w:w="1185"/>
        <w:gridCol w:w="984"/>
        <w:gridCol w:w="1013"/>
        <w:gridCol w:w="883"/>
        <w:gridCol w:w="1059"/>
      </w:tblGrid>
      <w:tr w14:paraId="6290C13C">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18700160">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序号</w:t>
            </w:r>
          </w:p>
        </w:tc>
        <w:tc>
          <w:tcPr>
            <w:tcW w:w="1165" w:type="dxa"/>
            <w:tcBorders>
              <w:top w:val="single" w:color="auto" w:sz="4" w:space="0"/>
              <w:left w:val="single" w:color="auto" w:sz="4" w:space="0"/>
              <w:bottom w:val="single" w:color="auto" w:sz="4" w:space="0"/>
              <w:right w:val="single" w:color="auto" w:sz="4" w:space="0"/>
            </w:tcBorders>
            <w:noWrap/>
            <w:vAlign w:val="center"/>
          </w:tcPr>
          <w:p w14:paraId="55546BAF">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名称</w:t>
            </w:r>
          </w:p>
        </w:tc>
        <w:tc>
          <w:tcPr>
            <w:tcW w:w="1621" w:type="dxa"/>
            <w:tcBorders>
              <w:top w:val="single" w:color="auto" w:sz="4" w:space="0"/>
              <w:left w:val="single" w:color="auto" w:sz="4" w:space="0"/>
              <w:bottom w:val="single" w:color="auto" w:sz="4" w:space="0"/>
              <w:right w:val="single" w:color="auto" w:sz="4" w:space="0"/>
            </w:tcBorders>
            <w:noWrap/>
            <w:vAlign w:val="center"/>
          </w:tcPr>
          <w:p w14:paraId="20B8C5D8">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规格/型号</w:t>
            </w:r>
          </w:p>
        </w:tc>
        <w:tc>
          <w:tcPr>
            <w:tcW w:w="709" w:type="dxa"/>
            <w:tcBorders>
              <w:top w:val="single" w:color="auto" w:sz="4" w:space="0"/>
              <w:left w:val="single" w:color="auto" w:sz="4" w:space="0"/>
              <w:bottom w:val="single" w:color="auto" w:sz="4" w:space="0"/>
              <w:right w:val="single" w:color="auto" w:sz="4" w:space="0"/>
            </w:tcBorders>
            <w:noWrap/>
            <w:vAlign w:val="center"/>
          </w:tcPr>
          <w:p w14:paraId="3931D24B">
            <w:pPr>
              <w:widowControl/>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单位</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9E50D13">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数量</w:t>
            </w:r>
          </w:p>
        </w:tc>
        <w:tc>
          <w:tcPr>
            <w:tcW w:w="984" w:type="dxa"/>
            <w:tcBorders>
              <w:top w:val="single" w:color="auto" w:sz="4" w:space="0"/>
              <w:left w:val="single" w:color="auto" w:sz="4" w:space="0"/>
              <w:bottom w:val="single" w:color="auto" w:sz="4" w:space="0"/>
              <w:right w:val="single" w:color="auto" w:sz="4" w:space="0"/>
            </w:tcBorders>
            <w:noWrap/>
            <w:vAlign w:val="center"/>
          </w:tcPr>
          <w:p w14:paraId="2EC203C2">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品牌</w:t>
            </w:r>
          </w:p>
        </w:tc>
        <w:tc>
          <w:tcPr>
            <w:tcW w:w="1013" w:type="dxa"/>
            <w:tcBorders>
              <w:top w:val="single" w:color="auto" w:sz="4" w:space="0"/>
              <w:left w:val="single" w:color="auto" w:sz="4" w:space="0"/>
              <w:bottom w:val="single" w:color="auto" w:sz="4" w:space="0"/>
              <w:right w:val="single" w:color="auto" w:sz="4" w:space="0"/>
            </w:tcBorders>
            <w:noWrap/>
            <w:vAlign w:val="center"/>
          </w:tcPr>
          <w:p w14:paraId="47C7D0D4">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单价</w:t>
            </w:r>
          </w:p>
          <w:p w14:paraId="3DDCD159">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（元）</w:t>
            </w:r>
          </w:p>
        </w:tc>
        <w:tc>
          <w:tcPr>
            <w:tcW w:w="883" w:type="dxa"/>
            <w:tcBorders>
              <w:top w:val="single" w:color="auto" w:sz="4" w:space="0"/>
              <w:left w:val="single" w:color="auto" w:sz="4" w:space="0"/>
              <w:bottom w:val="single" w:color="auto" w:sz="4" w:space="0"/>
              <w:right w:val="single" w:color="auto" w:sz="4" w:space="0"/>
            </w:tcBorders>
            <w:noWrap/>
            <w:vAlign w:val="center"/>
          </w:tcPr>
          <w:p w14:paraId="6B872F2D">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合计</w:t>
            </w:r>
          </w:p>
          <w:p w14:paraId="1F0129AE">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（元）</w:t>
            </w:r>
          </w:p>
        </w:tc>
        <w:tc>
          <w:tcPr>
            <w:tcW w:w="1059" w:type="dxa"/>
            <w:tcBorders>
              <w:top w:val="single" w:color="auto" w:sz="4" w:space="0"/>
              <w:left w:val="single" w:color="auto" w:sz="4" w:space="0"/>
              <w:bottom w:val="single" w:color="auto" w:sz="4" w:space="0"/>
              <w:right w:val="single" w:color="auto" w:sz="4" w:space="0"/>
            </w:tcBorders>
            <w:noWrap/>
            <w:vAlign w:val="center"/>
          </w:tcPr>
          <w:p w14:paraId="68A32A2C">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备注</w:t>
            </w:r>
          </w:p>
        </w:tc>
      </w:tr>
      <w:tr w14:paraId="01018E01">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15993D6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1165" w:type="dxa"/>
            <w:tcBorders>
              <w:top w:val="single" w:color="auto" w:sz="4" w:space="0"/>
              <w:left w:val="single" w:color="auto" w:sz="4" w:space="0"/>
              <w:bottom w:val="single" w:color="auto" w:sz="4" w:space="0"/>
              <w:right w:val="single" w:color="auto" w:sz="4" w:space="0"/>
            </w:tcBorders>
            <w:noWrap/>
            <w:vAlign w:val="center"/>
          </w:tcPr>
          <w:p w14:paraId="08D71515">
            <w:pPr>
              <w:widowControl/>
              <w:jc w:val="center"/>
              <w:textAlignment w:val="center"/>
              <w:rPr>
                <w:rFonts w:hint="eastAsia" w:ascii="宋体" w:hAnsi="宋体" w:eastAsia="宋体" w:cs="宋体"/>
                <w:color w:val="auto"/>
                <w:sz w:val="21"/>
                <w:szCs w:val="21"/>
                <w:highlight w:val="none"/>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2C5E51CF">
            <w:pPr>
              <w:widowControl/>
              <w:jc w:val="center"/>
              <w:textAlignment w:val="center"/>
              <w:rPr>
                <w:rFonts w:hint="eastAsia" w:ascii="宋体" w:hAnsi="宋体" w:eastAsia="宋体" w:cs="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51E0BC4">
            <w:pPr>
              <w:widowControl/>
              <w:jc w:val="center"/>
              <w:textAlignment w:val="center"/>
              <w:rPr>
                <w:rFonts w:hint="eastAsia" w:ascii="宋体" w:hAnsi="宋体" w:eastAsia="宋体" w:cs="宋体"/>
                <w:color w:val="auto"/>
                <w:sz w:val="21"/>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769C8D1">
            <w:pPr>
              <w:widowControl/>
              <w:jc w:val="center"/>
              <w:textAlignment w:val="center"/>
              <w:rPr>
                <w:rFonts w:hint="eastAsia" w:ascii="宋体" w:hAnsi="宋体" w:eastAsia="宋体" w:cs="宋体"/>
                <w:color w:val="auto"/>
                <w:sz w:val="21"/>
                <w:szCs w:val="21"/>
                <w:highlight w:val="none"/>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29BF3C84">
            <w:pPr>
              <w:widowControl/>
              <w:jc w:val="center"/>
              <w:textAlignment w:val="center"/>
              <w:rPr>
                <w:rFonts w:hint="eastAsia" w:ascii="宋体" w:hAnsi="宋体" w:eastAsia="宋体" w:cs="宋体"/>
                <w:color w:val="auto"/>
                <w:kern w:val="0"/>
                <w:sz w:val="21"/>
                <w:szCs w:val="21"/>
                <w:highlight w:val="none"/>
                <w:lang w:bidi="ar"/>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5D1965FB">
            <w:pPr>
              <w:widowControl/>
              <w:jc w:val="center"/>
              <w:textAlignment w:val="center"/>
              <w:rPr>
                <w:rFonts w:hint="eastAsia" w:ascii="宋体" w:hAnsi="宋体" w:eastAsia="宋体" w:cs="宋体"/>
                <w:color w:val="auto"/>
                <w:kern w:val="0"/>
                <w:sz w:val="21"/>
                <w:szCs w:val="21"/>
                <w:highlight w:val="none"/>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322CA457">
            <w:pPr>
              <w:widowControl/>
              <w:jc w:val="center"/>
              <w:textAlignment w:val="center"/>
              <w:rPr>
                <w:rFonts w:hint="eastAsia" w:ascii="宋体" w:hAnsi="宋体" w:eastAsia="宋体" w:cs="宋体"/>
                <w:color w:val="auto"/>
                <w:kern w:val="0"/>
                <w:sz w:val="21"/>
                <w:szCs w:val="21"/>
                <w:highlight w:val="none"/>
                <w:lang w:bidi="ar"/>
              </w:rPr>
            </w:pPr>
          </w:p>
        </w:tc>
        <w:tc>
          <w:tcPr>
            <w:tcW w:w="1059" w:type="dxa"/>
            <w:vMerge w:val="restart"/>
            <w:tcBorders>
              <w:top w:val="single" w:color="auto" w:sz="4" w:space="0"/>
              <w:left w:val="single" w:color="auto" w:sz="4" w:space="0"/>
              <w:right w:val="single" w:color="auto" w:sz="4" w:space="0"/>
            </w:tcBorders>
            <w:noWrap w:val="0"/>
            <w:vAlign w:val="center"/>
          </w:tcPr>
          <w:p w14:paraId="49F14960">
            <w:pPr>
              <w:widowControl/>
              <w:jc w:val="both"/>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含</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bidi="ar"/>
              </w:rPr>
              <w:t>%增值税，含运费，含卸货费等全部费用</w:t>
            </w:r>
          </w:p>
        </w:tc>
      </w:tr>
      <w:tr w14:paraId="401361BA">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7002D0A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1165" w:type="dxa"/>
            <w:tcBorders>
              <w:top w:val="single" w:color="auto" w:sz="4" w:space="0"/>
              <w:left w:val="single" w:color="auto" w:sz="4" w:space="0"/>
              <w:bottom w:val="single" w:color="auto" w:sz="4" w:space="0"/>
              <w:right w:val="single" w:color="auto" w:sz="4" w:space="0"/>
            </w:tcBorders>
            <w:noWrap/>
            <w:vAlign w:val="center"/>
          </w:tcPr>
          <w:p w14:paraId="2B47303D">
            <w:pPr>
              <w:widowControl/>
              <w:jc w:val="center"/>
              <w:textAlignment w:val="center"/>
              <w:rPr>
                <w:rFonts w:hint="eastAsia" w:ascii="宋体" w:hAnsi="宋体" w:eastAsia="宋体" w:cs="宋体"/>
                <w:color w:val="auto"/>
                <w:sz w:val="21"/>
                <w:szCs w:val="21"/>
                <w:highlight w:val="none"/>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27C5C20E">
            <w:pPr>
              <w:widowControl/>
              <w:jc w:val="center"/>
              <w:textAlignment w:val="center"/>
              <w:rPr>
                <w:rFonts w:hint="eastAsia" w:ascii="宋体" w:hAnsi="宋体" w:eastAsia="宋体" w:cs="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4B003B1">
            <w:pPr>
              <w:widowControl/>
              <w:jc w:val="center"/>
              <w:textAlignment w:val="center"/>
              <w:rPr>
                <w:rFonts w:hint="eastAsia" w:ascii="宋体" w:hAnsi="宋体" w:eastAsia="宋体" w:cs="宋体"/>
                <w:color w:val="auto"/>
                <w:sz w:val="21"/>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EEE7C07">
            <w:pPr>
              <w:widowControl/>
              <w:jc w:val="center"/>
              <w:textAlignment w:val="center"/>
              <w:rPr>
                <w:rFonts w:hint="eastAsia" w:ascii="宋体" w:hAnsi="宋体" w:eastAsia="宋体" w:cs="宋体"/>
                <w:color w:val="auto"/>
                <w:sz w:val="21"/>
                <w:szCs w:val="21"/>
                <w:highlight w:val="none"/>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568D2222">
            <w:pPr>
              <w:widowControl/>
              <w:jc w:val="center"/>
              <w:textAlignment w:val="center"/>
              <w:rPr>
                <w:rFonts w:hint="eastAsia" w:ascii="宋体" w:hAnsi="宋体" w:eastAsia="宋体" w:cs="宋体"/>
                <w:color w:val="auto"/>
                <w:kern w:val="0"/>
                <w:sz w:val="21"/>
                <w:szCs w:val="21"/>
                <w:highlight w:val="none"/>
                <w:lang w:bidi="ar"/>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2B74FDE0">
            <w:pPr>
              <w:widowControl/>
              <w:jc w:val="center"/>
              <w:textAlignment w:val="center"/>
              <w:rPr>
                <w:rFonts w:hint="eastAsia" w:ascii="宋体" w:hAnsi="宋体" w:eastAsia="宋体" w:cs="宋体"/>
                <w:color w:val="auto"/>
                <w:kern w:val="0"/>
                <w:sz w:val="21"/>
                <w:szCs w:val="21"/>
                <w:highlight w:val="none"/>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22847FA8">
            <w:pPr>
              <w:widowControl/>
              <w:jc w:val="center"/>
              <w:textAlignment w:val="center"/>
              <w:rPr>
                <w:rFonts w:hint="eastAsia" w:ascii="宋体" w:hAnsi="宋体" w:eastAsia="宋体" w:cs="宋体"/>
                <w:color w:val="auto"/>
                <w:kern w:val="0"/>
                <w:sz w:val="21"/>
                <w:szCs w:val="21"/>
                <w:highlight w:val="none"/>
                <w:lang w:bidi="ar"/>
              </w:rPr>
            </w:pPr>
          </w:p>
        </w:tc>
        <w:tc>
          <w:tcPr>
            <w:tcW w:w="1059" w:type="dxa"/>
            <w:vMerge w:val="continue"/>
            <w:tcBorders>
              <w:left w:val="single" w:color="auto" w:sz="4" w:space="0"/>
              <w:right w:val="single" w:color="auto" w:sz="4" w:space="0"/>
            </w:tcBorders>
            <w:noWrap w:val="0"/>
            <w:vAlign w:val="center"/>
          </w:tcPr>
          <w:p w14:paraId="1A030974">
            <w:pPr>
              <w:widowControl/>
              <w:jc w:val="center"/>
              <w:textAlignment w:val="center"/>
              <w:rPr>
                <w:rFonts w:hint="eastAsia" w:ascii="宋体" w:hAnsi="宋体" w:eastAsia="宋体" w:cs="宋体"/>
                <w:color w:val="auto"/>
                <w:kern w:val="0"/>
                <w:sz w:val="21"/>
                <w:szCs w:val="21"/>
                <w:highlight w:val="none"/>
                <w:lang w:bidi="ar"/>
              </w:rPr>
            </w:pPr>
          </w:p>
        </w:tc>
      </w:tr>
      <w:tr w14:paraId="034371A9">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625FF2D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165" w:type="dxa"/>
            <w:tcBorders>
              <w:top w:val="single" w:color="auto" w:sz="4" w:space="0"/>
              <w:left w:val="single" w:color="auto" w:sz="4" w:space="0"/>
              <w:bottom w:val="single" w:color="auto" w:sz="4" w:space="0"/>
              <w:right w:val="single" w:color="auto" w:sz="4" w:space="0"/>
            </w:tcBorders>
            <w:noWrap/>
            <w:vAlign w:val="center"/>
          </w:tcPr>
          <w:p w14:paraId="0060E861">
            <w:pPr>
              <w:widowControl/>
              <w:jc w:val="center"/>
              <w:textAlignment w:val="center"/>
              <w:rPr>
                <w:rFonts w:hint="eastAsia" w:ascii="宋体" w:hAnsi="宋体" w:eastAsia="宋体" w:cs="宋体"/>
                <w:color w:val="auto"/>
                <w:kern w:val="0"/>
                <w:sz w:val="21"/>
                <w:szCs w:val="21"/>
                <w:highlight w:val="none"/>
                <w:lang w:bidi="ar"/>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367B88BB">
            <w:pPr>
              <w:widowControl/>
              <w:jc w:val="center"/>
              <w:textAlignment w:val="center"/>
              <w:rPr>
                <w:rFonts w:hint="eastAsia" w:ascii="宋体" w:hAnsi="宋体" w:eastAsia="宋体" w:cs="宋体"/>
                <w:color w:val="auto"/>
                <w:kern w:val="0"/>
                <w:sz w:val="21"/>
                <w:szCs w:val="21"/>
                <w:highlight w:val="none"/>
                <w:lang w:bidi="ar"/>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4F09A36">
            <w:pPr>
              <w:widowControl/>
              <w:jc w:val="center"/>
              <w:textAlignment w:val="center"/>
              <w:rPr>
                <w:rFonts w:hint="eastAsia" w:ascii="宋体" w:hAnsi="宋体" w:eastAsia="宋体" w:cs="宋体"/>
                <w:color w:val="auto"/>
                <w:kern w:val="0"/>
                <w:sz w:val="21"/>
                <w:szCs w:val="21"/>
                <w:highlight w:val="none"/>
                <w:lang w:bidi="ar"/>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FC20B63">
            <w:pPr>
              <w:widowControl/>
              <w:jc w:val="center"/>
              <w:textAlignment w:val="center"/>
              <w:rPr>
                <w:rFonts w:hint="eastAsia" w:ascii="宋体" w:hAnsi="宋体" w:eastAsia="宋体" w:cs="宋体"/>
                <w:color w:val="auto"/>
                <w:kern w:val="0"/>
                <w:sz w:val="21"/>
                <w:szCs w:val="21"/>
                <w:highlight w:val="none"/>
                <w:lang w:bidi="ar"/>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0C4F92FF">
            <w:pPr>
              <w:widowControl/>
              <w:jc w:val="center"/>
              <w:textAlignment w:val="center"/>
              <w:rPr>
                <w:rFonts w:hint="eastAsia" w:ascii="宋体" w:hAnsi="宋体" w:eastAsia="宋体" w:cs="宋体"/>
                <w:color w:val="auto"/>
                <w:kern w:val="0"/>
                <w:sz w:val="21"/>
                <w:szCs w:val="21"/>
                <w:highlight w:val="none"/>
                <w:lang w:bidi="ar"/>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3C55FF9E">
            <w:pPr>
              <w:widowControl/>
              <w:jc w:val="center"/>
              <w:textAlignment w:val="center"/>
              <w:rPr>
                <w:rFonts w:hint="eastAsia" w:ascii="宋体" w:hAnsi="宋体" w:eastAsia="宋体" w:cs="宋体"/>
                <w:color w:val="auto"/>
                <w:kern w:val="0"/>
                <w:sz w:val="21"/>
                <w:szCs w:val="21"/>
                <w:highlight w:val="none"/>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5379BE80">
            <w:pPr>
              <w:widowControl/>
              <w:jc w:val="center"/>
              <w:textAlignment w:val="center"/>
              <w:rPr>
                <w:rFonts w:hint="eastAsia" w:ascii="宋体" w:hAnsi="宋体" w:eastAsia="宋体" w:cs="宋体"/>
                <w:color w:val="auto"/>
                <w:kern w:val="0"/>
                <w:sz w:val="21"/>
                <w:szCs w:val="21"/>
                <w:highlight w:val="none"/>
                <w:lang w:bidi="ar"/>
              </w:rPr>
            </w:pPr>
          </w:p>
        </w:tc>
        <w:tc>
          <w:tcPr>
            <w:tcW w:w="1059" w:type="dxa"/>
            <w:vMerge w:val="continue"/>
            <w:tcBorders>
              <w:left w:val="single" w:color="auto" w:sz="4" w:space="0"/>
              <w:right w:val="single" w:color="auto" w:sz="4" w:space="0"/>
            </w:tcBorders>
            <w:noWrap w:val="0"/>
            <w:vAlign w:val="center"/>
          </w:tcPr>
          <w:p w14:paraId="18B001D7">
            <w:pPr>
              <w:widowControl/>
              <w:jc w:val="center"/>
              <w:textAlignment w:val="center"/>
              <w:rPr>
                <w:rFonts w:hint="eastAsia" w:ascii="宋体" w:hAnsi="宋体" w:eastAsia="宋体" w:cs="宋体"/>
                <w:color w:val="auto"/>
                <w:kern w:val="0"/>
                <w:sz w:val="21"/>
                <w:szCs w:val="21"/>
                <w:highlight w:val="none"/>
                <w:lang w:bidi="ar"/>
              </w:rPr>
            </w:pPr>
          </w:p>
        </w:tc>
      </w:tr>
      <w:tr w14:paraId="43EED1AD">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121807ED">
            <w:pPr>
              <w:widowControl/>
              <w:jc w:val="center"/>
              <w:rPr>
                <w:rFonts w:hint="eastAsia" w:ascii="宋体" w:hAnsi="宋体" w:eastAsia="宋体" w:cs="宋体"/>
                <w:color w:val="auto"/>
                <w:kern w:val="0"/>
                <w:sz w:val="21"/>
                <w:szCs w:val="21"/>
                <w:highlight w:val="none"/>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4011DB02">
            <w:pPr>
              <w:widowControl/>
              <w:jc w:val="center"/>
              <w:textAlignment w:val="center"/>
              <w:rPr>
                <w:rFonts w:hint="eastAsia" w:ascii="宋体" w:hAnsi="宋体" w:eastAsia="宋体" w:cs="宋体"/>
                <w:color w:val="auto"/>
                <w:kern w:val="0"/>
                <w:sz w:val="21"/>
                <w:szCs w:val="21"/>
                <w:highlight w:val="none"/>
                <w:lang w:bidi="ar"/>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7FEE6C79">
            <w:pPr>
              <w:widowControl/>
              <w:jc w:val="center"/>
              <w:textAlignment w:val="center"/>
              <w:rPr>
                <w:rFonts w:hint="eastAsia" w:ascii="宋体" w:hAnsi="宋体" w:eastAsia="宋体" w:cs="宋体"/>
                <w:color w:val="auto"/>
                <w:kern w:val="0"/>
                <w:sz w:val="21"/>
                <w:szCs w:val="21"/>
                <w:highlight w:val="none"/>
                <w:lang w:bidi="ar"/>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38834D5">
            <w:pPr>
              <w:widowControl/>
              <w:jc w:val="center"/>
              <w:textAlignment w:val="center"/>
              <w:rPr>
                <w:rFonts w:hint="eastAsia" w:ascii="宋体" w:hAnsi="宋体" w:eastAsia="宋体" w:cs="宋体"/>
                <w:color w:val="auto"/>
                <w:kern w:val="0"/>
                <w:sz w:val="21"/>
                <w:szCs w:val="21"/>
                <w:highlight w:val="none"/>
                <w:lang w:bidi="ar"/>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1444332">
            <w:pPr>
              <w:widowControl/>
              <w:jc w:val="center"/>
              <w:textAlignment w:val="center"/>
              <w:rPr>
                <w:rFonts w:hint="eastAsia" w:ascii="宋体" w:hAnsi="宋体" w:eastAsia="宋体" w:cs="宋体"/>
                <w:color w:val="auto"/>
                <w:kern w:val="0"/>
                <w:sz w:val="21"/>
                <w:szCs w:val="21"/>
                <w:highlight w:val="none"/>
                <w:lang w:bidi="ar"/>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06761551">
            <w:pPr>
              <w:widowControl/>
              <w:jc w:val="center"/>
              <w:textAlignment w:val="center"/>
              <w:rPr>
                <w:rFonts w:hint="eastAsia" w:ascii="宋体" w:hAnsi="宋体" w:eastAsia="宋体" w:cs="宋体"/>
                <w:color w:val="auto"/>
                <w:kern w:val="0"/>
                <w:sz w:val="21"/>
                <w:szCs w:val="21"/>
                <w:highlight w:val="none"/>
                <w:lang w:bidi="ar"/>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4FD61A7E">
            <w:pPr>
              <w:widowControl/>
              <w:jc w:val="center"/>
              <w:textAlignment w:val="center"/>
              <w:rPr>
                <w:rFonts w:hint="eastAsia" w:ascii="宋体" w:hAnsi="宋体" w:eastAsia="宋体" w:cs="宋体"/>
                <w:color w:val="auto"/>
                <w:kern w:val="0"/>
                <w:sz w:val="21"/>
                <w:szCs w:val="21"/>
                <w:highlight w:val="none"/>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07F63746">
            <w:pPr>
              <w:widowControl/>
              <w:jc w:val="center"/>
              <w:textAlignment w:val="center"/>
              <w:rPr>
                <w:rFonts w:hint="eastAsia" w:ascii="宋体" w:hAnsi="宋体" w:eastAsia="宋体" w:cs="宋体"/>
                <w:color w:val="auto"/>
                <w:kern w:val="0"/>
                <w:sz w:val="21"/>
                <w:szCs w:val="21"/>
                <w:highlight w:val="none"/>
                <w:lang w:bidi="ar"/>
              </w:rPr>
            </w:pPr>
          </w:p>
        </w:tc>
        <w:tc>
          <w:tcPr>
            <w:tcW w:w="1059" w:type="dxa"/>
            <w:vMerge w:val="continue"/>
            <w:tcBorders>
              <w:left w:val="single" w:color="auto" w:sz="4" w:space="0"/>
              <w:right w:val="single" w:color="auto" w:sz="4" w:space="0"/>
            </w:tcBorders>
            <w:noWrap w:val="0"/>
            <w:vAlign w:val="center"/>
          </w:tcPr>
          <w:p w14:paraId="5D8A211B">
            <w:pPr>
              <w:widowControl/>
              <w:jc w:val="center"/>
              <w:textAlignment w:val="center"/>
              <w:rPr>
                <w:rFonts w:hint="eastAsia" w:ascii="宋体" w:hAnsi="宋体" w:eastAsia="宋体" w:cs="宋体"/>
                <w:color w:val="auto"/>
                <w:kern w:val="0"/>
                <w:sz w:val="21"/>
                <w:szCs w:val="21"/>
                <w:highlight w:val="none"/>
                <w:lang w:bidi="ar"/>
              </w:rPr>
            </w:pPr>
          </w:p>
        </w:tc>
      </w:tr>
      <w:tr w14:paraId="58160565">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6003A88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5" w:type="dxa"/>
            <w:tcBorders>
              <w:top w:val="single" w:color="auto" w:sz="4" w:space="0"/>
              <w:left w:val="single" w:color="auto" w:sz="4" w:space="0"/>
              <w:bottom w:val="single" w:color="auto" w:sz="4" w:space="0"/>
              <w:right w:val="single" w:color="auto" w:sz="4" w:space="0"/>
            </w:tcBorders>
            <w:noWrap/>
            <w:vAlign w:val="center"/>
          </w:tcPr>
          <w:p w14:paraId="0E11736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w:t>
            </w:r>
          </w:p>
        </w:tc>
        <w:tc>
          <w:tcPr>
            <w:tcW w:w="1621" w:type="dxa"/>
            <w:tcBorders>
              <w:top w:val="single" w:color="auto" w:sz="4" w:space="0"/>
              <w:left w:val="single" w:color="auto" w:sz="4" w:space="0"/>
              <w:bottom w:val="single" w:color="auto" w:sz="4" w:space="0"/>
              <w:right w:val="single" w:color="auto" w:sz="4" w:space="0"/>
            </w:tcBorders>
            <w:noWrap/>
            <w:vAlign w:val="center"/>
          </w:tcPr>
          <w:p w14:paraId="7CB15FD1">
            <w:pPr>
              <w:widowControl/>
              <w:jc w:val="center"/>
              <w:textAlignment w:val="center"/>
              <w:rPr>
                <w:rFonts w:hint="eastAsia" w:ascii="宋体" w:hAnsi="宋体" w:eastAsia="宋体" w:cs="宋体"/>
                <w:color w:val="auto"/>
                <w:kern w:val="0"/>
                <w:sz w:val="21"/>
                <w:szCs w:val="21"/>
                <w:highlight w:val="none"/>
                <w:lang w:bidi="ar"/>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BF6F282">
            <w:pPr>
              <w:widowControl/>
              <w:jc w:val="center"/>
              <w:textAlignment w:val="center"/>
              <w:rPr>
                <w:rFonts w:hint="eastAsia" w:ascii="宋体" w:hAnsi="宋体" w:eastAsia="宋体" w:cs="宋体"/>
                <w:color w:val="auto"/>
                <w:kern w:val="0"/>
                <w:sz w:val="21"/>
                <w:szCs w:val="21"/>
                <w:highlight w:val="none"/>
                <w:lang w:bidi="ar"/>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8C89D5">
            <w:pPr>
              <w:widowControl/>
              <w:jc w:val="center"/>
              <w:textAlignment w:val="center"/>
              <w:rPr>
                <w:rFonts w:hint="eastAsia" w:ascii="宋体" w:hAnsi="宋体" w:eastAsia="宋体" w:cs="宋体"/>
                <w:color w:val="auto"/>
                <w:kern w:val="0"/>
                <w:sz w:val="21"/>
                <w:szCs w:val="21"/>
                <w:highlight w:val="none"/>
                <w:lang w:bidi="ar"/>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79453A36">
            <w:pPr>
              <w:widowControl/>
              <w:jc w:val="center"/>
              <w:textAlignment w:val="center"/>
              <w:rPr>
                <w:rFonts w:hint="eastAsia" w:ascii="宋体" w:hAnsi="宋体" w:eastAsia="宋体" w:cs="宋体"/>
                <w:color w:val="auto"/>
                <w:kern w:val="0"/>
                <w:sz w:val="21"/>
                <w:szCs w:val="21"/>
                <w:highlight w:val="none"/>
                <w:lang w:bidi="ar"/>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608ECE11">
            <w:pPr>
              <w:widowControl/>
              <w:jc w:val="center"/>
              <w:textAlignment w:val="center"/>
              <w:rPr>
                <w:rFonts w:hint="eastAsia" w:ascii="宋体" w:hAnsi="宋体" w:eastAsia="宋体" w:cs="宋体"/>
                <w:color w:val="auto"/>
                <w:kern w:val="0"/>
                <w:sz w:val="21"/>
                <w:szCs w:val="21"/>
                <w:highlight w:val="none"/>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4A4B0C29">
            <w:pPr>
              <w:widowControl/>
              <w:jc w:val="center"/>
              <w:textAlignment w:val="center"/>
              <w:rPr>
                <w:rFonts w:hint="eastAsia" w:ascii="宋体" w:hAnsi="宋体" w:eastAsia="宋体" w:cs="宋体"/>
                <w:color w:val="auto"/>
                <w:kern w:val="0"/>
                <w:sz w:val="21"/>
                <w:szCs w:val="21"/>
                <w:highlight w:val="none"/>
                <w:lang w:bidi="ar"/>
              </w:rPr>
            </w:pPr>
          </w:p>
        </w:tc>
        <w:tc>
          <w:tcPr>
            <w:tcW w:w="1059" w:type="dxa"/>
            <w:vMerge w:val="continue"/>
            <w:tcBorders>
              <w:left w:val="single" w:color="auto" w:sz="4" w:space="0"/>
              <w:right w:val="single" w:color="auto" w:sz="4" w:space="0"/>
            </w:tcBorders>
            <w:noWrap w:val="0"/>
            <w:vAlign w:val="center"/>
          </w:tcPr>
          <w:p w14:paraId="087A306A">
            <w:pPr>
              <w:widowControl/>
              <w:jc w:val="center"/>
              <w:textAlignment w:val="center"/>
              <w:rPr>
                <w:rFonts w:hint="eastAsia" w:ascii="宋体" w:hAnsi="宋体" w:eastAsia="宋体" w:cs="宋体"/>
                <w:color w:val="auto"/>
                <w:kern w:val="0"/>
                <w:sz w:val="21"/>
                <w:szCs w:val="21"/>
                <w:highlight w:val="none"/>
                <w:lang w:bidi="ar"/>
              </w:rPr>
            </w:pPr>
          </w:p>
        </w:tc>
      </w:tr>
      <w:tr w14:paraId="1E8BFEEE">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1BD4AE00">
            <w:pPr>
              <w:widowControl/>
              <w:jc w:val="center"/>
              <w:textAlignment w:val="center"/>
              <w:rPr>
                <w:rFonts w:hint="eastAsia" w:ascii="宋体" w:hAnsi="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总价</w:t>
            </w:r>
          </w:p>
          <w:p w14:paraId="696FC090">
            <w:pPr>
              <w:widowControl/>
              <w:jc w:val="center"/>
              <w:textAlignment w:val="center"/>
              <w:rPr>
                <w:rFonts w:hint="eastAsia" w:ascii="宋体" w:hAnsi="宋体" w:eastAsia="宋体" w:cs="宋体"/>
                <w:color w:val="auto"/>
                <w:spacing w:val="7"/>
                <w:kern w:val="0"/>
                <w:sz w:val="21"/>
                <w:szCs w:val="21"/>
                <w:highlight w:val="none"/>
              </w:rPr>
            </w:pPr>
            <w:r>
              <w:rPr>
                <w:rFonts w:hint="eastAsia" w:ascii="宋体" w:hAnsi="宋体" w:cs="宋体"/>
                <w:b/>
                <w:bCs/>
                <w:color w:val="auto"/>
                <w:kern w:val="0"/>
                <w:sz w:val="21"/>
                <w:szCs w:val="21"/>
                <w:highlight w:val="none"/>
                <w:lang w:val="en-US" w:eastAsia="zh-CN" w:bidi="ar"/>
              </w:rPr>
              <w:t>（元）</w:t>
            </w:r>
          </w:p>
        </w:tc>
        <w:tc>
          <w:tcPr>
            <w:tcW w:w="7560" w:type="dxa"/>
            <w:gridSpan w:val="7"/>
            <w:tcBorders>
              <w:top w:val="single" w:color="auto" w:sz="4" w:space="0"/>
              <w:left w:val="single" w:color="auto" w:sz="4" w:space="0"/>
              <w:bottom w:val="single" w:color="auto" w:sz="4" w:space="0"/>
              <w:right w:val="single" w:color="auto" w:sz="4" w:space="0"/>
            </w:tcBorders>
            <w:noWrap/>
            <w:vAlign w:val="center"/>
          </w:tcPr>
          <w:p w14:paraId="35508FA5">
            <w:pPr>
              <w:rPr>
                <w:rFonts w:hint="eastAsia" w:ascii="宋体" w:hAnsi="宋体" w:eastAsia="宋体" w:cs="宋体"/>
                <w:color w:val="auto"/>
                <w:spacing w:val="7"/>
                <w:kern w:val="0"/>
                <w:sz w:val="21"/>
                <w:szCs w:val="21"/>
                <w:highlight w:val="none"/>
              </w:rPr>
            </w:pPr>
            <w:r>
              <w:rPr>
                <w:rFonts w:hint="eastAsia" w:ascii="宋体" w:hAnsi="宋体" w:eastAsia="宋体" w:cs="宋体"/>
                <w:b/>
                <w:bCs/>
                <w:color w:val="auto"/>
                <w:spacing w:val="7"/>
                <w:kern w:val="0"/>
                <w:sz w:val="21"/>
                <w:szCs w:val="21"/>
                <w:highlight w:val="none"/>
              </w:rPr>
              <w:t>人民币大写：</w:t>
            </w:r>
          </w:p>
        </w:tc>
        <w:tc>
          <w:tcPr>
            <w:tcW w:w="1059" w:type="dxa"/>
            <w:vMerge w:val="continue"/>
            <w:tcBorders>
              <w:left w:val="single" w:color="auto" w:sz="4" w:space="0"/>
              <w:bottom w:val="single" w:color="auto" w:sz="4" w:space="0"/>
              <w:right w:val="single" w:color="auto" w:sz="4" w:space="0"/>
            </w:tcBorders>
            <w:noWrap/>
            <w:vAlign w:val="center"/>
          </w:tcPr>
          <w:p w14:paraId="1B848B85">
            <w:pPr>
              <w:jc w:val="center"/>
              <w:rPr>
                <w:rFonts w:hint="eastAsia" w:ascii="宋体" w:hAnsi="宋体" w:eastAsia="宋体" w:cs="宋体"/>
                <w:color w:val="auto"/>
                <w:spacing w:val="7"/>
                <w:kern w:val="0"/>
                <w:sz w:val="21"/>
                <w:szCs w:val="21"/>
                <w:highlight w:val="none"/>
              </w:rPr>
            </w:pPr>
          </w:p>
        </w:tc>
      </w:tr>
    </w:tbl>
    <w:p w14:paraId="1D25DD2C">
      <w:pPr>
        <w:spacing w:before="162" w:line="224" w:lineRule="auto"/>
        <w:ind w:left="3994"/>
        <w:outlineLvl w:val="2"/>
        <w:rPr>
          <w:rFonts w:ascii="宋体" w:hAnsi="宋体" w:eastAsia="宋体" w:cs="宋体"/>
          <w:b/>
          <w:bCs/>
          <w:color w:val="auto"/>
          <w:spacing w:val="5"/>
          <w:sz w:val="31"/>
          <w:szCs w:val="31"/>
          <w:highlight w:val="none"/>
        </w:rPr>
      </w:pPr>
    </w:p>
    <w:p w14:paraId="4A7BC224">
      <w:pPr>
        <w:pStyle w:val="3"/>
        <w:spacing w:line="260" w:lineRule="auto"/>
        <w:rPr>
          <w:color w:val="auto"/>
          <w:highlight w:val="none"/>
        </w:rPr>
      </w:pPr>
    </w:p>
    <w:p w14:paraId="487C3933">
      <w:pPr>
        <w:spacing w:before="91" w:line="219" w:lineRule="auto"/>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供应商（盖公章</w:t>
      </w:r>
      <w:r>
        <w:rPr>
          <w:rFonts w:ascii="宋体" w:hAnsi="宋体" w:eastAsia="宋体" w:cs="宋体"/>
          <w:color w:val="auto"/>
          <w:spacing w:val="1"/>
          <w:sz w:val="28"/>
          <w:szCs w:val="28"/>
          <w:highlight w:val="none"/>
        </w:rPr>
        <w:t>）：</w:t>
      </w:r>
    </w:p>
    <w:p w14:paraId="30D9CBA1">
      <w:pPr>
        <w:spacing w:before="213" w:line="219" w:lineRule="auto"/>
        <w:ind w:left="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法定代表人或被授权人（签字或盖章</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u w:val="single" w:color="auto"/>
        </w:rPr>
        <w:t xml:space="preserve">         </w:t>
      </w:r>
    </w:p>
    <w:p w14:paraId="1574AD86">
      <w:pPr>
        <w:spacing w:before="212" w:line="220" w:lineRule="auto"/>
        <w:ind w:left="48"/>
        <w:rPr>
          <w:rFonts w:ascii="宋体" w:hAnsi="宋体" w:eastAsia="宋体" w:cs="宋体"/>
          <w:color w:val="auto"/>
          <w:sz w:val="28"/>
          <w:szCs w:val="28"/>
          <w:highlight w:val="none"/>
        </w:rPr>
      </w:pPr>
      <w:r>
        <w:rPr>
          <w:rFonts w:ascii="宋体" w:hAnsi="宋体" w:eastAsia="宋体" w:cs="宋体"/>
          <w:color w:val="auto"/>
          <w:spacing w:val="-15"/>
          <w:sz w:val="28"/>
          <w:szCs w:val="28"/>
          <w:highlight w:val="none"/>
        </w:rPr>
        <w:t>日期：</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25"/>
          <w:sz w:val="28"/>
          <w:szCs w:val="28"/>
          <w:highlight w:val="none"/>
        </w:rPr>
        <w:t xml:space="preserve"> </w:t>
      </w:r>
      <w:r>
        <w:rPr>
          <w:rFonts w:ascii="宋体" w:hAnsi="宋体" w:eastAsia="宋体" w:cs="宋体"/>
          <w:color w:val="auto"/>
          <w:spacing w:val="-15"/>
          <w:sz w:val="28"/>
          <w:szCs w:val="28"/>
          <w:highlight w:val="none"/>
        </w:rPr>
        <w:t>年</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120"/>
          <w:sz w:val="28"/>
          <w:szCs w:val="28"/>
          <w:highlight w:val="none"/>
        </w:rPr>
        <w:t xml:space="preserve"> </w:t>
      </w:r>
      <w:r>
        <w:rPr>
          <w:rFonts w:ascii="宋体" w:hAnsi="宋体" w:eastAsia="宋体" w:cs="宋体"/>
          <w:color w:val="auto"/>
          <w:spacing w:val="-15"/>
          <w:sz w:val="28"/>
          <w:szCs w:val="28"/>
          <w:highlight w:val="none"/>
        </w:rPr>
        <w:t>月</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80"/>
          <w:sz w:val="28"/>
          <w:szCs w:val="28"/>
          <w:highlight w:val="none"/>
        </w:rPr>
        <w:t xml:space="preserve"> </w:t>
      </w:r>
      <w:r>
        <w:rPr>
          <w:rFonts w:ascii="宋体" w:hAnsi="宋体" w:eastAsia="宋体" w:cs="宋体"/>
          <w:color w:val="auto"/>
          <w:spacing w:val="-15"/>
          <w:sz w:val="28"/>
          <w:szCs w:val="28"/>
          <w:highlight w:val="none"/>
        </w:rPr>
        <w:t>日</w:t>
      </w:r>
    </w:p>
    <w:p w14:paraId="36C2E120">
      <w:pPr>
        <w:spacing w:before="92" w:line="220" w:lineRule="auto"/>
        <w:ind w:left="234"/>
        <w:rPr>
          <w:rFonts w:ascii="宋体" w:hAnsi="宋体" w:eastAsia="宋体" w:cs="宋体"/>
          <w:color w:val="auto"/>
          <w:sz w:val="28"/>
          <w:szCs w:val="28"/>
          <w:highlight w:val="none"/>
        </w:rPr>
      </w:pPr>
    </w:p>
    <w:p w14:paraId="19F97ED8">
      <w:pPr>
        <w:spacing w:line="220" w:lineRule="auto"/>
        <w:rPr>
          <w:rFonts w:ascii="宋体" w:hAnsi="宋体" w:eastAsia="宋体" w:cs="宋体"/>
          <w:color w:val="auto"/>
          <w:sz w:val="28"/>
          <w:szCs w:val="28"/>
          <w:highlight w:val="none"/>
        </w:rPr>
        <w:sectPr>
          <w:footerReference r:id="rId7" w:type="default"/>
          <w:pgSz w:w="11907" w:h="16839"/>
          <w:pgMar w:top="1423" w:right="1411" w:bottom="1154" w:left="1411" w:header="0" w:footer="988" w:gutter="0"/>
          <w:pgNumType w:fmt="decimal"/>
          <w:cols w:space="720" w:num="1"/>
        </w:sectPr>
      </w:pPr>
    </w:p>
    <w:p w14:paraId="28C87FCD">
      <w:pPr>
        <w:snapToGrid w:val="0"/>
        <w:spacing w:line="300" w:lineRule="auto"/>
        <w:jc w:val="both"/>
        <w:outlineLvl w:val="0"/>
        <w:rPr>
          <w:rFonts w:hint="eastAsia" w:ascii="宋体" w:hAnsi="宋体" w:cs="宋体"/>
          <w:b/>
          <w:bCs/>
          <w:color w:val="auto"/>
          <w:sz w:val="28"/>
          <w:szCs w:val="28"/>
          <w:highlight w:val="none"/>
          <w:lang w:val="en-US" w:bidi="zh-CN"/>
        </w:rPr>
      </w:pPr>
      <w:r>
        <w:rPr>
          <w:rFonts w:hint="eastAsia" w:ascii="宋体" w:hAnsi="宋体" w:cs="宋体"/>
          <w:b/>
          <w:bCs/>
          <w:color w:val="auto"/>
          <w:sz w:val="28"/>
          <w:szCs w:val="28"/>
          <w:highlight w:val="none"/>
          <w:lang w:val="en-US" w:bidi="zh-CN"/>
        </w:rPr>
        <w:t>附件7</w:t>
      </w:r>
    </w:p>
    <w:p w14:paraId="07D223E7">
      <w:pPr>
        <w:snapToGrid w:val="0"/>
        <w:spacing w:line="300" w:lineRule="auto"/>
        <w:jc w:val="center"/>
        <w:outlineLvl w:val="0"/>
        <w:rPr>
          <w:rFonts w:ascii="Times New Roman" w:hAnsi="Times New Roman"/>
          <w:b/>
          <w:bCs/>
          <w:color w:val="auto"/>
          <w:sz w:val="28"/>
          <w:szCs w:val="28"/>
          <w:highlight w:val="none"/>
          <w:lang w:bidi="zh-CN"/>
        </w:rPr>
      </w:pPr>
      <w:r>
        <w:rPr>
          <w:rFonts w:ascii="Times New Roman" w:hAnsi="Times New Roman"/>
          <w:b/>
          <w:bCs/>
          <w:color w:val="auto"/>
          <w:sz w:val="28"/>
          <w:szCs w:val="28"/>
          <w:highlight w:val="none"/>
          <w:lang w:bidi="zh-CN"/>
        </w:rPr>
        <w:t>中小企业声明函（货物）</w:t>
      </w:r>
    </w:p>
    <w:p w14:paraId="23B80C84">
      <w:pPr>
        <w:snapToGrid w:val="0"/>
        <w:spacing w:line="360" w:lineRule="auto"/>
        <w:ind w:firstLine="560" w:firstLineChars="200"/>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本公司（联合体）郑重声明，根据《政府采购促进中小企业发展管理办法》（财库</w:t>
      </w:r>
      <w:r>
        <w:rPr>
          <w:rFonts w:hint="eastAsia" w:ascii="宋体" w:hAnsi="宋体"/>
          <w:color w:val="auto"/>
          <w:sz w:val="28"/>
          <w:szCs w:val="28"/>
          <w:highlight w:val="none"/>
        </w:rPr>
        <w:t>〔</w:t>
      </w:r>
      <w:r>
        <w:rPr>
          <w:rFonts w:ascii="Times New Roman" w:hAnsi="Times New Roman"/>
          <w:color w:val="auto"/>
          <w:sz w:val="28"/>
          <w:szCs w:val="28"/>
          <w:highlight w:val="none"/>
          <w:lang w:bidi="zh-CN"/>
        </w:rPr>
        <w:t>2020</w:t>
      </w:r>
      <w:r>
        <w:rPr>
          <w:rFonts w:hint="eastAsia" w:ascii="宋体" w:hAnsi="宋体"/>
          <w:color w:val="auto"/>
          <w:sz w:val="28"/>
          <w:szCs w:val="28"/>
          <w:highlight w:val="none"/>
        </w:rPr>
        <w:t>〕</w:t>
      </w:r>
      <w:r>
        <w:rPr>
          <w:rFonts w:ascii="Times New Roman" w:hAnsi="Times New Roman"/>
          <w:color w:val="auto"/>
          <w:sz w:val="28"/>
          <w:szCs w:val="28"/>
          <w:highlight w:val="none"/>
          <w:lang w:bidi="zh-CN"/>
        </w:rPr>
        <w:t>46号）的规定，本公司（联合体）参加</w:t>
      </w:r>
      <w:r>
        <w:rPr>
          <w:rFonts w:ascii="Times New Roman" w:hAnsi="Times New Roman"/>
          <w:color w:val="auto"/>
          <w:sz w:val="28"/>
          <w:szCs w:val="28"/>
          <w:highlight w:val="none"/>
          <w:u w:val="single"/>
          <w:lang w:bidi="zh-CN"/>
        </w:rPr>
        <w:t>（单位名称）</w:t>
      </w:r>
      <w:r>
        <w:rPr>
          <w:rFonts w:ascii="Times New Roman" w:hAnsi="Times New Roman"/>
          <w:color w:val="auto"/>
          <w:sz w:val="28"/>
          <w:szCs w:val="28"/>
          <w:highlight w:val="none"/>
          <w:lang w:bidi="zh-CN"/>
        </w:rPr>
        <w:t>的</w:t>
      </w:r>
      <w:r>
        <w:rPr>
          <w:rFonts w:ascii="Times New Roman" w:hAnsi="Times New Roman"/>
          <w:color w:val="auto"/>
          <w:sz w:val="28"/>
          <w:szCs w:val="28"/>
          <w:highlight w:val="none"/>
          <w:u w:val="single"/>
          <w:lang w:bidi="zh-CN"/>
        </w:rPr>
        <w:t>（项目名称）</w:t>
      </w:r>
      <w:r>
        <w:rPr>
          <w:rFonts w:ascii="Times New Roman" w:hAnsi="Times New Roman"/>
          <w:color w:val="auto"/>
          <w:sz w:val="28"/>
          <w:szCs w:val="28"/>
          <w:highlight w:val="none"/>
          <w:lang w:bidi="zh-CN"/>
        </w:rPr>
        <w:t>采购活动，提供的货物全部由符合政策要求的中小</w:t>
      </w:r>
      <w:r>
        <w:rPr>
          <w:rFonts w:hint="eastAsia"/>
          <w:color w:val="auto"/>
          <w:sz w:val="28"/>
          <w:szCs w:val="28"/>
          <w:highlight w:val="none"/>
          <w:lang w:bidi="zh-CN"/>
        </w:rPr>
        <w:t>微</w:t>
      </w:r>
      <w:r>
        <w:rPr>
          <w:rFonts w:ascii="Times New Roman" w:hAnsi="Times New Roman"/>
          <w:color w:val="auto"/>
          <w:sz w:val="28"/>
          <w:szCs w:val="28"/>
          <w:highlight w:val="none"/>
          <w:lang w:bidi="zh-CN"/>
        </w:rPr>
        <w:t>企业制造。相关企业（含联合体中的中小</w:t>
      </w:r>
      <w:r>
        <w:rPr>
          <w:rFonts w:hint="eastAsia"/>
          <w:color w:val="auto"/>
          <w:sz w:val="28"/>
          <w:szCs w:val="28"/>
          <w:highlight w:val="none"/>
          <w:lang w:bidi="zh-CN"/>
        </w:rPr>
        <w:t>微</w:t>
      </w:r>
      <w:r>
        <w:rPr>
          <w:rFonts w:ascii="Times New Roman" w:hAnsi="Times New Roman"/>
          <w:color w:val="auto"/>
          <w:sz w:val="28"/>
          <w:szCs w:val="28"/>
          <w:highlight w:val="none"/>
          <w:lang w:bidi="zh-CN"/>
        </w:rPr>
        <w:t>企业、签订分包意向协议的中小</w:t>
      </w:r>
      <w:r>
        <w:rPr>
          <w:rFonts w:hint="eastAsia"/>
          <w:color w:val="auto"/>
          <w:sz w:val="28"/>
          <w:szCs w:val="28"/>
          <w:highlight w:val="none"/>
          <w:lang w:bidi="zh-CN"/>
        </w:rPr>
        <w:t>微</w:t>
      </w:r>
      <w:r>
        <w:rPr>
          <w:rFonts w:ascii="Times New Roman" w:hAnsi="Times New Roman"/>
          <w:color w:val="auto"/>
          <w:sz w:val="28"/>
          <w:szCs w:val="28"/>
          <w:highlight w:val="none"/>
          <w:lang w:bidi="zh-CN"/>
        </w:rPr>
        <w:t>企业）的具体情况如下：</w:t>
      </w:r>
    </w:p>
    <w:p w14:paraId="66C4F540">
      <w:pPr>
        <w:snapToGrid w:val="0"/>
        <w:spacing w:line="360" w:lineRule="auto"/>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1.</w:t>
      </w:r>
      <w:r>
        <w:rPr>
          <w:rFonts w:ascii="Times New Roman" w:hAnsi="Times New Roman"/>
          <w:color w:val="auto"/>
          <w:sz w:val="28"/>
          <w:szCs w:val="28"/>
          <w:highlight w:val="none"/>
          <w:u w:val="single"/>
          <w:lang w:bidi="zh-CN"/>
        </w:rPr>
        <w:t>（标的名称）</w:t>
      </w:r>
      <w:r>
        <w:rPr>
          <w:rFonts w:ascii="Times New Roman" w:hAnsi="Times New Roman"/>
          <w:color w:val="auto"/>
          <w:sz w:val="28"/>
          <w:szCs w:val="28"/>
          <w:highlight w:val="none"/>
          <w:lang w:bidi="zh-CN"/>
        </w:rPr>
        <w:t>，属于</w:t>
      </w:r>
      <w:r>
        <w:rPr>
          <w:rFonts w:ascii="Times New Roman" w:hAnsi="Times New Roman"/>
          <w:color w:val="auto"/>
          <w:sz w:val="28"/>
          <w:szCs w:val="28"/>
          <w:highlight w:val="none"/>
          <w:u w:val="single"/>
          <w:lang w:bidi="zh-CN"/>
        </w:rPr>
        <w:t>（采购文件中明确的所属行业）</w:t>
      </w:r>
      <w:r>
        <w:rPr>
          <w:rFonts w:ascii="Times New Roman" w:hAnsi="Times New Roman"/>
          <w:color w:val="auto"/>
          <w:sz w:val="28"/>
          <w:szCs w:val="28"/>
          <w:highlight w:val="none"/>
          <w:lang w:bidi="zh-CN"/>
        </w:rPr>
        <w:t>行业；制造商为</w:t>
      </w:r>
      <w:r>
        <w:rPr>
          <w:rFonts w:ascii="Times New Roman" w:hAnsi="Times New Roman"/>
          <w:color w:val="auto"/>
          <w:sz w:val="28"/>
          <w:szCs w:val="28"/>
          <w:highlight w:val="none"/>
          <w:u w:val="single"/>
          <w:lang w:bidi="zh-CN"/>
        </w:rPr>
        <w:t>（企业名称）</w:t>
      </w:r>
      <w:r>
        <w:rPr>
          <w:rFonts w:ascii="Times New Roman" w:hAnsi="Times New Roman"/>
          <w:color w:val="auto"/>
          <w:sz w:val="28"/>
          <w:szCs w:val="28"/>
          <w:highlight w:val="none"/>
          <w:lang w:bidi="zh-CN"/>
        </w:rPr>
        <w:t>，从业人员</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人，营业收入为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万元，资产总额为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万元，属于</w:t>
      </w:r>
      <w:r>
        <w:rPr>
          <w:rFonts w:ascii="Times New Roman" w:hAnsi="Times New Roman"/>
          <w:color w:val="auto"/>
          <w:sz w:val="28"/>
          <w:szCs w:val="28"/>
          <w:highlight w:val="none"/>
          <w:u w:val="single"/>
          <w:lang w:bidi="zh-CN"/>
        </w:rPr>
        <w:t>（中型企业、小型企业、微型企业）</w:t>
      </w:r>
      <w:r>
        <w:rPr>
          <w:rFonts w:ascii="Times New Roman" w:hAnsi="Times New Roman"/>
          <w:color w:val="auto"/>
          <w:sz w:val="28"/>
          <w:szCs w:val="28"/>
          <w:highlight w:val="none"/>
          <w:lang w:bidi="zh-CN"/>
        </w:rPr>
        <w:t>；</w:t>
      </w:r>
    </w:p>
    <w:p w14:paraId="2D01752A">
      <w:pPr>
        <w:snapToGrid w:val="0"/>
        <w:spacing w:line="360" w:lineRule="auto"/>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2.</w:t>
      </w:r>
      <w:r>
        <w:rPr>
          <w:rFonts w:ascii="Times New Roman" w:hAnsi="Times New Roman"/>
          <w:color w:val="auto"/>
          <w:sz w:val="28"/>
          <w:szCs w:val="28"/>
          <w:highlight w:val="none"/>
          <w:u w:val="single"/>
          <w:lang w:bidi="zh-CN"/>
        </w:rPr>
        <w:t>（标的名称）</w:t>
      </w:r>
      <w:r>
        <w:rPr>
          <w:rFonts w:ascii="Times New Roman" w:hAnsi="Times New Roman"/>
          <w:color w:val="auto"/>
          <w:sz w:val="28"/>
          <w:szCs w:val="28"/>
          <w:highlight w:val="none"/>
          <w:lang w:bidi="zh-CN"/>
        </w:rPr>
        <w:t>，属于</w:t>
      </w:r>
      <w:r>
        <w:rPr>
          <w:rFonts w:ascii="Times New Roman" w:hAnsi="Times New Roman"/>
          <w:color w:val="auto"/>
          <w:sz w:val="28"/>
          <w:szCs w:val="28"/>
          <w:highlight w:val="none"/>
          <w:u w:val="single"/>
          <w:lang w:bidi="zh-CN"/>
        </w:rPr>
        <w:t>（采购文件中明确的所属行业）</w:t>
      </w:r>
      <w:r>
        <w:rPr>
          <w:rFonts w:ascii="Times New Roman" w:hAnsi="Times New Roman"/>
          <w:color w:val="auto"/>
          <w:sz w:val="28"/>
          <w:szCs w:val="28"/>
          <w:highlight w:val="none"/>
          <w:lang w:bidi="zh-CN"/>
        </w:rPr>
        <w:t>行业；制造商为</w:t>
      </w:r>
      <w:r>
        <w:rPr>
          <w:rFonts w:ascii="Times New Roman" w:hAnsi="Times New Roman"/>
          <w:color w:val="auto"/>
          <w:sz w:val="28"/>
          <w:szCs w:val="28"/>
          <w:highlight w:val="none"/>
          <w:u w:val="single"/>
          <w:lang w:bidi="zh-CN"/>
        </w:rPr>
        <w:t>（企业名称）</w:t>
      </w:r>
      <w:r>
        <w:rPr>
          <w:rFonts w:ascii="Times New Roman" w:hAnsi="Times New Roman"/>
          <w:color w:val="auto"/>
          <w:sz w:val="28"/>
          <w:szCs w:val="28"/>
          <w:highlight w:val="none"/>
          <w:lang w:bidi="zh-CN"/>
        </w:rPr>
        <w:t>，从业人员</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人，营业收入为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万元，资产总额为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万元，属于</w:t>
      </w:r>
      <w:r>
        <w:rPr>
          <w:rFonts w:ascii="Times New Roman" w:hAnsi="Times New Roman"/>
          <w:color w:val="auto"/>
          <w:sz w:val="28"/>
          <w:szCs w:val="28"/>
          <w:highlight w:val="none"/>
          <w:u w:val="single"/>
          <w:lang w:bidi="zh-CN"/>
        </w:rPr>
        <w:t>（中型企业、小型企业、微型企业）</w:t>
      </w:r>
      <w:r>
        <w:rPr>
          <w:rFonts w:ascii="Times New Roman" w:hAnsi="Times New Roman"/>
          <w:color w:val="auto"/>
          <w:sz w:val="28"/>
          <w:szCs w:val="28"/>
          <w:highlight w:val="none"/>
          <w:lang w:bidi="zh-CN"/>
        </w:rPr>
        <w:t>；</w:t>
      </w:r>
    </w:p>
    <w:p w14:paraId="2BF888BA">
      <w:pPr>
        <w:snapToGrid w:val="0"/>
        <w:spacing w:line="360" w:lineRule="auto"/>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w:t>
      </w:r>
    </w:p>
    <w:p w14:paraId="78A21172">
      <w:pPr>
        <w:snapToGrid w:val="0"/>
        <w:spacing w:line="360" w:lineRule="auto"/>
        <w:ind w:firstLine="560" w:firstLineChars="200"/>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以上企业，不属于大企业的分支机构，不存在控股股东为大企业的情形，也不存在与大企业的负责人为同一人的情形。</w:t>
      </w:r>
    </w:p>
    <w:p w14:paraId="7C84465C">
      <w:pPr>
        <w:snapToGrid w:val="0"/>
        <w:spacing w:line="360" w:lineRule="auto"/>
        <w:ind w:firstLine="560" w:firstLineChars="200"/>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本企业对上述声明内容的真实性负责。如有虚假，将依法承担相应责任。</w:t>
      </w:r>
    </w:p>
    <w:p w14:paraId="798C32AD">
      <w:pPr>
        <w:snapToGrid w:val="0"/>
        <w:spacing w:line="300" w:lineRule="auto"/>
        <w:outlineLvl w:val="0"/>
        <w:rPr>
          <w:rFonts w:ascii="Times New Roman" w:hAnsi="Times New Roman"/>
          <w:color w:val="auto"/>
          <w:sz w:val="28"/>
          <w:szCs w:val="28"/>
          <w:highlight w:val="none"/>
          <w:lang w:bidi="zh-CN"/>
        </w:rPr>
      </w:pPr>
    </w:p>
    <w:p w14:paraId="4EDF9037">
      <w:pPr>
        <w:snapToGrid w:val="0"/>
        <w:spacing w:line="300" w:lineRule="auto"/>
        <w:outlineLvl w:val="0"/>
        <w:rPr>
          <w:rFonts w:ascii="宋体" w:hAnsi="宋体" w:cs="宋体"/>
          <w:color w:val="auto"/>
          <w:szCs w:val="21"/>
          <w:highlight w:val="none"/>
          <w:lang w:bidi="zh-CN"/>
        </w:rPr>
      </w:pPr>
      <w:r>
        <w:rPr>
          <w:rFonts w:hint="eastAsia" w:ascii="宋体" w:hAnsi="宋体" w:cs="宋体"/>
          <w:color w:val="auto"/>
          <w:szCs w:val="21"/>
          <w:highlight w:val="none"/>
          <w:lang w:bidi="zh-CN"/>
        </w:rPr>
        <w:t>注：1.从业人员、营业收入、资产总额填报上一年度数据，无上一年度数据的新成立企业可不填报。</w:t>
      </w:r>
    </w:p>
    <w:p w14:paraId="7C38ECA8">
      <w:pPr>
        <w:snapToGrid w:val="0"/>
        <w:spacing w:line="300" w:lineRule="auto"/>
        <w:ind w:firstLine="420" w:firstLineChars="200"/>
        <w:outlineLvl w:val="0"/>
        <w:rPr>
          <w:rFonts w:ascii="宋体" w:hAnsi="宋体" w:cs="宋体"/>
          <w:color w:val="auto"/>
          <w:szCs w:val="21"/>
          <w:highlight w:val="none"/>
          <w:lang w:bidi="zh-CN"/>
        </w:rPr>
      </w:pPr>
      <w:r>
        <w:rPr>
          <w:rFonts w:ascii="宋体" w:hAnsi="宋体" w:cs="宋体"/>
          <w:color w:val="auto"/>
          <w:szCs w:val="21"/>
          <w:highlight w:val="none"/>
          <w:lang w:bidi="zh-CN"/>
        </w:rPr>
        <w:t>2</w:t>
      </w:r>
      <w:r>
        <w:rPr>
          <w:rFonts w:hint="eastAsia" w:ascii="宋体" w:hAnsi="宋体" w:cs="宋体"/>
          <w:color w:val="auto"/>
          <w:szCs w:val="21"/>
          <w:highlight w:val="none"/>
          <w:lang w:bidi="zh-CN"/>
        </w:rPr>
        <w:t>.投标供应商须根据上述要求，详细列明货物清单中所有产品制造商的具体情况，否则不能享受中小微企业扶持政策。</w:t>
      </w:r>
    </w:p>
    <w:p w14:paraId="2EDBEE1B">
      <w:pPr>
        <w:snapToGrid w:val="0"/>
        <w:spacing w:line="300" w:lineRule="auto"/>
        <w:ind w:firstLine="420" w:firstLineChars="200"/>
        <w:outlineLvl w:val="0"/>
        <w:rPr>
          <w:rFonts w:ascii="Times New Roman" w:hAnsi="Times New Roman"/>
          <w:color w:val="auto"/>
          <w:sz w:val="28"/>
          <w:szCs w:val="28"/>
          <w:highlight w:val="none"/>
          <w:lang w:bidi="zh-CN"/>
        </w:rPr>
      </w:pPr>
      <w:r>
        <w:rPr>
          <w:rFonts w:ascii="宋体" w:hAnsi="宋体" w:cs="宋体"/>
          <w:color w:val="auto"/>
          <w:szCs w:val="21"/>
          <w:highlight w:val="none"/>
          <w:lang w:bidi="zh-CN"/>
        </w:rPr>
        <w:t>3</w:t>
      </w:r>
      <w:r>
        <w:rPr>
          <w:rFonts w:hint="eastAsia" w:ascii="宋体" w:hAnsi="宋体" w:cs="宋体"/>
          <w:color w:val="auto"/>
          <w:szCs w:val="21"/>
          <w:highlight w:val="none"/>
          <w:lang w:bidi="zh-CN"/>
        </w:rPr>
        <w:t>.供应商按照本办法规定提供声明函内容不实的，属于提供虚假材料谋取中标、成交，依照《中华人民共和国政府采购法》等国家有关规定追究相应责任。</w:t>
      </w:r>
    </w:p>
    <w:p w14:paraId="050606D0">
      <w:pPr>
        <w:snapToGrid w:val="0"/>
        <w:spacing w:line="300" w:lineRule="auto"/>
        <w:jc w:val="center"/>
        <w:outlineLvl w:val="0"/>
        <w:rPr>
          <w:rFonts w:hint="eastAsia"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 xml:space="preserve">                      </w:t>
      </w:r>
    </w:p>
    <w:p w14:paraId="464A4C10">
      <w:pPr>
        <w:snapToGrid w:val="0"/>
        <w:spacing w:line="300" w:lineRule="auto"/>
        <w:jc w:val="center"/>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val="en-US" w:bidi="zh-CN"/>
        </w:rPr>
        <w:t xml:space="preserve">                </w:t>
      </w:r>
      <w:r>
        <w:rPr>
          <w:rFonts w:ascii="Times New Roman" w:hAnsi="Times New Roman"/>
          <w:color w:val="auto"/>
          <w:sz w:val="28"/>
          <w:szCs w:val="28"/>
          <w:highlight w:val="none"/>
          <w:lang w:bidi="zh-CN"/>
        </w:rPr>
        <w:t>企业名称（盖章）：</w:t>
      </w:r>
    </w:p>
    <w:p w14:paraId="2B54DBE1">
      <w:pPr>
        <w:snapToGrid w:val="0"/>
        <w:spacing w:line="300" w:lineRule="auto"/>
        <w:jc w:val="center"/>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 xml:space="preserve">          </w:t>
      </w:r>
      <w:r>
        <w:rPr>
          <w:rFonts w:ascii="Times New Roman" w:hAnsi="Times New Roman"/>
          <w:color w:val="auto"/>
          <w:sz w:val="28"/>
          <w:szCs w:val="28"/>
          <w:highlight w:val="none"/>
          <w:lang w:bidi="zh-CN"/>
        </w:rPr>
        <w:t>日期：</w:t>
      </w:r>
    </w:p>
    <w:p w14:paraId="718406F3">
      <w:pPr>
        <w:snapToGrid w:val="0"/>
        <w:spacing w:line="300" w:lineRule="auto"/>
        <w:outlineLvl w:val="0"/>
        <w:rPr>
          <w:rFonts w:ascii="Times New Roman" w:hAnsi="Times New Roman" w:eastAsia="方正黑体_GBK"/>
          <w:color w:val="auto"/>
          <w:sz w:val="32"/>
          <w:szCs w:val="32"/>
          <w:highlight w:val="none"/>
        </w:rPr>
      </w:pPr>
    </w:p>
    <w:p w14:paraId="0A7DFF65">
      <w:pPr>
        <w:snapToGrid w:val="0"/>
        <w:spacing w:line="300" w:lineRule="auto"/>
        <w:outlineLvl w:val="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8</w:t>
      </w:r>
    </w:p>
    <w:p w14:paraId="17B8B426">
      <w:pPr>
        <w:spacing w:line="4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14:paraId="102D4D4D">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14:paraId="397C961D">
      <w:pPr>
        <w:spacing w:line="588" w:lineRule="exact"/>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14:paraId="64AE8686">
      <w:pPr>
        <w:spacing w:line="588" w:lineRule="exact"/>
        <w:ind w:firstLine="560" w:firstLineChars="200"/>
        <w:rPr>
          <w:rFonts w:hint="eastAsia" w:ascii="宋体" w:hAnsi="宋体" w:eastAsia="宋体" w:cs="宋体"/>
          <w:color w:val="auto"/>
          <w:sz w:val="28"/>
          <w:szCs w:val="28"/>
          <w:highlight w:val="none"/>
        </w:rPr>
      </w:pPr>
    </w:p>
    <w:p w14:paraId="3D89E69C">
      <w:pPr>
        <w:spacing w:line="588" w:lineRule="exact"/>
        <w:ind w:firstLine="584" w:firstLineChars="200"/>
        <w:rPr>
          <w:rFonts w:hint="eastAsia" w:ascii="宋体" w:hAnsi="宋体" w:eastAsia="宋体" w:cs="宋体"/>
          <w:color w:val="auto"/>
          <w:spacing w:val="6"/>
          <w:sz w:val="28"/>
          <w:szCs w:val="28"/>
          <w:highlight w:val="none"/>
        </w:rPr>
      </w:pPr>
    </w:p>
    <w:p w14:paraId="70783024">
      <w:pPr>
        <w:snapToGrid w:val="0"/>
        <w:spacing w:line="30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注：1、供应商如不提供此声明函，价格将不做相应扣除。</w:t>
      </w:r>
    </w:p>
    <w:p w14:paraId="07D88912">
      <w:pPr>
        <w:spacing w:line="588" w:lineRule="exact"/>
        <w:ind w:firstLine="560" w:firstLineChars="200"/>
        <w:rPr>
          <w:rFonts w:hint="eastAsia" w:ascii="宋体" w:hAnsi="宋体" w:eastAsia="宋体" w:cs="宋体"/>
          <w:color w:val="auto"/>
          <w:spacing w:val="6"/>
          <w:sz w:val="28"/>
          <w:szCs w:val="28"/>
          <w:highlight w:val="none"/>
        </w:rPr>
      </w:pPr>
      <w:r>
        <w:rPr>
          <w:rFonts w:hint="eastAsia" w:ascii="宋体" w:hAnsi="宋体" w:eastAsia="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14:paraId="1D5EB673">
      <w:pPr>
        <w:spacing w:line="588" w:lineRule="exact"/>
        <w:ind w:firstLine="584" w:firstLineChars="200"/>
        <w:rPr>
          <w:rFonts w:hint="eastAsia" w:ascii="宋体" w:hAnsi="宋体" w:eastAsia="宋体" w:cs="宋体"/>
          <w:color w:val="auto"/>
          <w:spacing w:val="6"/>
          <w:sz w:val="28"/>
          <w:szCs w:val="28"/>
          <w:highlight w:val="none"/>
        </w:rPr>
      </w:pPr>
    </w:p>
    <w:p w14:paraId="31AF62B8">
      <w:pPr>
        <w:tabs>
          <w:tab w:val="left" w:pos="4860"/>
        </w:tabs>
        <w:spacing w:line="588" w:lineRule="exact"/>
        <w:ind w:right="1560" w:firstLine="584"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 xml:space="preserve">             </w:t>
      </w:r>
      <w:r>
        <w:rPr>
          <w:rFonts w:hint="eastAsia" w:ascii="宋体" w:hAnsi="宋体" w:eastAsia="宋体" w:cs="宋体"/>
          <w:color w:val="auto"/>
          <w:sz w:val="28"/>
          <w:szCs w:val="28"/>
          <w:highlight w:val="none"/>
        </w:rPr>
        <w:t xml:space="preserve">           供应商全称（盖章）：</w:t>
      </w:r>
    </w:p>
    <w:p w14:paraId="6A4C2B24">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w:t>
      </w:r>
    </w:p>
    <w:p w14:paraId="6BBEB3F0">
      <w:pPr>
        <w:ind w:firstLine="420"/>
        <w:rPr>
          <w:rFonts w:hint="eastAsia" w:ascii="宋体" w:hAnsi="宋体" w:eastAsia="宋体" w:cs="宋体"/>
          <w:color w:val="auto"/>
          <w:sz w:val="28"/>
          <w:szCs w:val="28"/>
          <w:highlight w:val="none"/>
        </w:rPr>
      </w:pPr>
    </w:p>
    <w:p w14:paraId="240FA44D">
      <w:pPr>
        <w:snapToGrid w:val="0"/>
        <w:spacing w:line="300" w:lineRule="auto"/>
        <w:outlineLvl w:val="0"/>
        <w:rPr>
          <w:rFonts w:hint="eastAsia" w:ascii="宋体" w:hAnsi="宋体" w:eastAsia="宋体" w:cs="宋体"/>
          <w:color w:val="auto"/>
          <w:sz w:val="28"/>
          <w:szCs w:val="28"/>
          <w:highlight w:val="none"/>
        </w:rPr>
      </w:pPr>
    </w:p>
    <w:p w14:paraId="50464E4E">
      <w:pPr>
        <w:snapToGrid w:val="0"/>
        <w:spacing w:line="300" w:lineRule="auto"/>
        <w:outlineLvl w:val="0"/>
        <w:rPr>
          <w:rFonts w:hint="eastAsia" w:ascii="宋体" w:hAnsi="宋体" w:eastAsia="宋体" w:cs="宋体"/>
          <w:color w:val="auto"/>
          <w:sz w:val="28"/>
          <w:szCs w:val="28"/>
          <w:highlight w:val="none"/>
        </w:rPr>
      </w:pPr>
    </w:p>
    <w:p w14:paraId="0BC292A3">
      <w:pPr>
        <w:snapToGrid w:val="0"/>
        <w:spacing w:line="300" w:lineRule="auto"/>
        <w:outlineLvl w:val="0"/>
        <w:rPr>
          <w:rFonts w:hint="eastAsia" w:ascii="宋体" w:hAnsi="宋体" w:eastAsia="宋体" w:cs="宋体"/>
          <w:color w:val="auto"/>
          <w:sz w:val="28"/>
          <w:szCs w:val="28"/>
          <w:highlight w:val="none"/>
        </w:rPr>
      </w:pPr>
    </w:p>
    <w:p w14:paraId="7AE4AA59">
      <w:pPr>
        <w:snapToGrid w:val="0"/>
        <w:spacing w:line="300" w:lineRule="auto"/>
        <w:outlineLvl w:val="0"/>
        <w:rPr>
          <w:rFonts w:hint="eastAsia" w:ascii="宋体" w:hAnsi="宋体" w:eastAsia="宋体" w:cs="宋体"/>
          <w:color w:val="auto"/>
          <w:sz w:val="28"/>
          <w:szCs w:val="28"/>
          <w:highlight w:val="none"/>
        </w:rPr>
      </w:pPr>
    </w:p>
    <w:p w14:paraId="54D42540">
      <w:pPr>
        <w:snapToGrid w:val="0"/>
        <w:spacing w:line="300" w:lineRule="auto"/>
        <w:outlineLvl w:val="0"/>
        <w:rPr>
          <w:rFonts w:hint="eastAsia" w:ascii="宋体" w:hAnsi="宋体" w:eastAsia="宋体" w:cs="宋体"/>
          <w:color w:val="auto"/>
          <w:sz w:val="32"/>
          <w:szCs w:val="32"/>
          <w:highlight w:val="none"/>
        </w:rPr>
      </w:pPr>
    </w:p>
    <w:p w14:paraId="516A3650">
      <w:pPr>
        <w:snapToGrid w:val="0"/>
        <w:spacing w:line="300" w:lineRule="auto"/>
        <w:outlineLvl w:val="0"/>
        <w:rPr>
          <w:rFonts w:hint="eastAsia" w:ascii="宋体" w:hAnsi="宋体" w:eastAsia="宋体" w:cs="宋体"/>
          <w:color w:val="auto"/>
          <w:sz w:val="32"/>
          <w:szCs w:val="32"/>
          <w:highlight w:val="none"/>
        </w:rPr>
      </w:pPr>
    </w:p>
    <w:p w14:paraId="59665302">
      <w:pPr>
        <w:snapToGrid w:val="0"/>
        <w:spacing w:line="300" w:lineRule="auto"/>
        <w:outlineLvl w:val="0"/>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9</w:t>
      </w:r>
    </w:p>
    <w:p w14:paraId="70248AD1">
      <w:pPr>
        <w:snapToGrid w:val="0"/>
        <w:spacing w:line="420" w:lineRule="exact"/>
        <w:jc w:val="center"/>
        <w:outlineLvl w:val="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监狱和戒毒企业证明材料</w:t>
      </w:r>
    </w:p>
    <w:p w14:paraId="4389CA36">
      <w:pPr>
        <w:snapToGrid w:val="0"/>
        <w:spacing w:line="420" w:lineRule="exact"/>
        <w:ind w:firstLine="495" w:firstLineChars="177"/>
        <w:rPr>
          <w:rFonts w:hint="eastAsia" w:ascii="宋体" w:hAnsi="宋体" w:eastAsia="宋体" w:cs="宋体"/>
          <w:color w:val="auto"/>
          <w:sz w:val="28"/>
          <w:szCs w:val="28"/>
          <w:highlight w:val="none"/>
        </w:rPr>
      </w:pPr>
    </w:p>
    <w:p w14:paraId="2856708B">
      <w:pPr>
        <w:snapToGrid w:val="0"/>
        <w:spacing w:line="420" w:lineRule="exact"/>
        <w:ind w:firstLine="495" w:firstLineChars="177"/>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（格式自拟）</w:t>
      </w:r>
    </w:p>
    <w:p w14:paraId="0EE6F5C0">
      <w:pPr>
        <w:snapToGrid w:val="0"/>
        <w:spacing w:line="420" w:lineRule="exact"/>
        <w:ind w:firstLine="495" w:firstLineChars="177"/>
        <w:rPr>
          <w:rFonts w:hint="eastAsia" w:ascii="宋体" w:hAnsi="宋体" w:eastAsia="宋体" w:cs="宋体"/>
          <w:color w:val="auto"/>
          <w:sz w:val="28"/>
          <w:szCs w:val="28"/>
          <w:highlight w:val="none"/>
        </w:rPr>
      </w:pPr>
    </w:p>
    <w:p w14:paraId="2CE32424">
      <w:pPr>
        <w:snapToGrid w:val="0"/>
        <w:spacing w:line="420" w:lineRule="exact"/>
        <w:ind w:firstLine="660" w:firstLineChars="23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0264053">
      <w:pPr>
        <w:snapToGrid w:val="0"/>
        <w:spacing w:line="300" w:lineRule="auto"/>
        <w:outlineLvl w:val="0"/>
        <w:rPr>
          <w:rFonts w:hint="eastAsia" w:ascii="宋体" w:hAnsi="宋体" w:eastAsia="宋体" w:cs="宋体"/>
          <w:color w:val="auto"/>
          <w:sz w:val="28"/>
          <w:szCs w:val="28"/>
          <w:highlight w:val="none"/>
        </w:rPr>
      </w:pPr>
    </w:p>
    <w:p w14:paraId="1DB6FCAC">
      <w:pPr>
        <w:snapToGrid w:val="0"/>
        <w:spacing w:line="300" w:lineRule="auto"/>
        <w:outlineLvl w:val="0"/>
        <w:rPr>
          <w:rFonts w:hint="eastAsia" w:ascii="宋体" w:hAnsi="宋体" w:eastAsia="宋体" w:cs="宋体"/>
          <w:color w:val="auto"/>
          <w:sz w:val="28"/>
          <w:szCs w:val="28"/>
          <w:highlight w:val="none"/>
        </w:rPr>
      </w:pPr>
    </w:p>
    <w:p w14:paraId="04A9B7E5">
      <w:pPr>
        <w:snapToGrid w:val="0"/>
        <w:spacing w:line="300" w:lineRule="auto"/>
        <w:outlineLvl w:val="0"/>
        <w:rPr>
          <w:rFonts w:hint="eastAsia" w:ascii="宋体" w:hAnsi="宋体" w:eastAsia="宋体" w:cs="宋体"/>
          <w:color w:val="auto"/>
          <w:sz w:val="28"/>
          <w:szCs w:val="28"/>
          <w:highlight w:val="none"/>
        </w:rPr>
      </w:pPr>
    </w:p>
    <w:p w14:paraId="191A2D7C">
      <w:pPr>
        <w:snapToGrid w:val="0"/>
        <w:spacing w:line="30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注：1、供应商如不提供此声明函，价格将不做相应扣除。</w:t>
      </w:r>
    </w:p>
    <w:p w14:paraId="480E1896">
      <w:pPr>
        <w:snapToGrid w:val="0"/>
        <w:spacing w:line="30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14:paraId="10BFE4C4">
      <w:pPr>
        <w:snapToGrid w:val="0"/>
        <w:spacing w:line="300" w:lineRule="auto"/>
        <w:outlineLvl w:val="0"/>
        <w:rPr>
          <w:rFonts w:hint="eastAsia" w:ascii="宋体" w:hAnsi="宋体" w:eastAsia="宋体" w:cs="宋体"/>
          <w:color w:val="auto"/>
          <w:sz w:val="28"/>
          <w:szCs w:val="28"/>
          <w:highlight w:val="none"/>
        </w:rPr>
      </w:pPr>
    </w:p>
    <w:p w14:paraId="716AF5E8">
      <w:pPr>
        <w:snapToGrid w:val="0"/>
        <w:spacing w:line="300" w:lineRule="auto"/>
        <w:outlineLvl w:val="0"/>
        <w:rPr>
          <w:rFonts w:hint="eastAsia" w:ascii="宋体" w:hAnsi="宋体" w:eastAsia="宋体" w:cs="宋体"/>
          <w:color w:val="auto"/>
          <w:sz w:val="28"/>
          <w:szCs w:val="28"/>
          <w:highlight w:val="none"/>
        </w:rPr>
      </w:pPr>
    </w:p>
    <w:p w14:paraId="64DA3D8C">
      <w:pPr>
        <w:snapToGrid w:val="0"/>
        <w:spacing w:line="300" w:lineRule="auto"/>
        <w:outlineLvl w:val="0"/>
        <w:rPr>
          <w:rFonts w:hint="eastAsia" w:ascii="宋体" w:hAnsi="宋体" w:eastAsia="宋体" w:cs="宋体"/>
          <w:color w:val="auto"/>
          <w:sz w:val="28"/>
          <w:szCs w:val="28"/>
          <w:highlight w:val="none"/>
        </w:rPr>
      </w:pPr>
    </w:p>
    <w:p w14:paraId="4E179D79">
      <w:pPr>
        <w:snapToGrid w:val="0"/>
        <w:spacing w:line="300" w:lineRule="auto"/>
        <w:outlineLvl w:val="0"/>
        <w:rPr>
          <w:rFonts w:hint="eastAsia" w:ascii="宋体" w:hAnsi="宋体" w:eastAsia="宋体" w:cs="宋体"/>
          <w:color w:val="auto"/>
          <w:sz w:val="28"/>
          <w:szCs w:val="28"/>
          <w:highlight w:val="none"/>
        </w:rPr>
      </w:pPr>
    </w:p>
    <w:p w14:paraId="05EB72B7">
      <w:pPr>
        <w:snapToGrid w:val="0"/>
        <w:spacing w:line="300" w:lineRule="auto"/>
        <w:outlineLvl w:val="0"/>
        <w:rPr>
          <w:rFonts w:hint="eastAsia" w:ascii="宋体" w:hAnsi="宋体" w:eastAsia="宋体" w:cs="宋体"/>
          <w:color w:val="auto"/>
          <w:sz w:val="28"/>
          <w:szCs w:val="28"/>
          <w:highlight w:val="none"/>
        </w:rPr>
      </w:pPr>
    </w:p>
    <w:p w14:paraId="7D6A1B27">
      <w:pPr>
        <w:snapToGrid w:val="0"/>
        <w:spacing w:line="300" w:lineRule="auto"/>
        <w:outlineLvl w:val="0"/>
        <w:rPr>
          <w:rFonts w:hint="eastAsia" w:ascii="宋体" w:hAnsi="宋体" w:eastAsia="宋体" w:cs="宋体"/>
          <w:color w:val="auto"/>
          <w:sz w:val="28"/>
          <w:szCs w:val="28"/>
          <w:highlight w:val="none"/>
        </w:rPr>
      </w:pPr>
    </w:p>
    <w:p w14:paraId="59808843">
      <w:pPr>
        <w:snapToGrid w:val="0"/>
        <w:spacing w:line="300" w:lineRule="auto"/>
        <w:outlineLvl w:val="0"/>
        <w:rPr>
          <w:rFonts w:hint="eastAsia" w:ascii="宋体" w:hAnsi="宋体" w:eastAsia="宋体" w:cs="宋体"/>
          <w:color w:val="auto"/>
          <w:sz w:val="28"/>
          <w:szCs w:val="28"/>
          <w:highlight w:val="none"/>
        </w:rPr>
      </w:pPr>
    </w:p>
    <w:p w14:paraId="53FCA571">
      <w:pPr>
        <w:snapToGrid w:val="0"/>
        <w:spacing w:line="300" w:lineRule="auto"/>
        <w:outlineLvl w:val="0"/>
        <w:rPr>
          <w:rFonts w:hint="eastAsia" w:ascii="宋体" w:hAnsi="宋体" w:eastAsia="宋体" w:cs="宋体"/>
          <w:color w:val="auto"/>
          <w:sz w:val="28"/>
          <w:szCs w:val="28"/>
          <w:highlight w:val="none"/>
        </w:rPr>
      </w:pPr>
    </w:p>
    <w:p w14:paraId="6744EC21">
      <w:pPr>
        <w:snapToGrid w:val="0"/>
        <w:spacing w:line="300" w:lineRule="auto"/>
        <w:outlineLvl w:val="0"/>
        <w:rPr>
          <w:rFonts w:hint="eastAsia" w:ascii="宋体" w:hAnsi="宋体" w:eastAsia="宋体" w:cs="宋体"/>
          <w:color w:val="auto"/>
          <w:sz w:val="28"/>
          <w:szCs w:val="28"/>
          <w:highlight w:val="none"/>
        </w:rPr>
      </w:pPr>
    </w:p>
    <w:p w14:paraId="2B88DCF4">
      <w:pPr>
        <w:snapToGrid w:val="0"/>
        <w:spacing w:line="300" w:lineRule="auto"/>
        <w:outlineLvl w:val="0"/>
        <w:rPr>
          <w:rFonts w:hint="eastAsia" w:ascii="宋体" w:hAnsi="宋体" w:eastAsia="宋体" w:cs="宋体"/>
          <w:color w:val="auto"/>
          <w:sz w:val="28"/>
          <w:szCs w:val="28"/>
          <w:highlight w:val="none"/>
        </w:rPr>
      </w:pPr>
    </w:p>
    <w:p w14:paraId="1C53095A">
      <w:pPr>
        <w:tabs>
          <w:tab w:val="left" w:pos="4860"/>
        </w:tabs>
        <w:spacing w:line="588" w:lineRule="exact"/>
        <w:ind w:right="1560"/>
        <w:jc w:val="both"/>
        <w:rPr>
          <w:rFonts w:hint="eastAsia" w:ascii="宋体" w:hAnsi="宋体" w:eastAsia="宋体" w:cs="宋体"/>
          <w:color w:val="auto"/>
          <w:sz w:val="28"/>
          <w:szCs w:val="28"/>
          <w:highlight w:val="none"/>
        </w:rPr>
      </w:pPr>
      <w:r>
        <w:rPr>
          <w:rFonts w:hint="eastAsia" w:ascii="宋体" w:hAnsi="宋体" w:eastAsia="宋体" w:cs="宋体"/>
          <w:b/>
          <w:bCs/>
          <w:color w:val="auto"/>
          <w:sz w:val="24"/>
          <w:highlight w:val="none"/>
        </w:rPr>
        <w:br w:type="page"/>
      </w:r>
    </w:p>
    <w:p w14:paraId="047BC3DC">
      <w:pPr>
        <w:rPr>
          <w:rFonts w:hint="default" w:ascii="宋体" w:hAnsi="宋体" w:eastAsia="宋体" w:cs="宋体"/>
          <w:bCs/>
          <w:color w:val="auto"/>
          <w:sz w:val="32"/>
          <w:szCs w:val="32"/>
          <w:highlight w:val="none"/>
          <w:lang w:val="en-US" w:eastAsia="zh-CN" w:bidi="ar"/>
        </w:rPr>
      </w:pPr>
      <w:r>
        <w:rPr>
          <w:rFonts w:hint="eastAsia" w:ascii="宋体" w:hAnsi="宋体" w:eastAsia="宋体" w:cs="宋体"/>
          <w:bCs/>
          <w:color w:val="auto"/>
          <w:sz w:val="32"/>
          <w:szCs w:val="32"/>
          <w:highlight w:val="none"/>
          <w:lang w:bidi="ar"/>
        </w:rPr>
        <w:t>附件</w:t>
      </w:r>
      <w:r>
        <w:rPr>
          <w:rFonts w:hint="eastAsia" w:ascii="宋体" w:hAnsi="宋体" w:cs="宋体"/>
          <w:bCs/>
          <w:color w:val="auto"/>
          <w:sz w:val="32"/>
          <w:szCs w:val="32"/>
          <w:highlight w:val="none"/>
          <w:lang w:val="en-US" w:eastAsia="zh-CN" w:bidi="ar"/>
        </w:rPr>
        <w:t>10</w:t>
      </w:r>
    </w:p>
    <w:p w14:paraId="1B157E21">
      <w:pPr>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质疑函范本</w:t>
      </w:r>
    </w:p>
    <w:p w14:paraId="22947C1A">
      <w:pPr>
        <w:adjustRightInd w:val="0"/>
        <w:snapToGrid w:val="0"/>
        <w:spacing w:before="312" w:beforeLines="100"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一、质疑供应商基本信息</w:t>
      </w:r>
    </w:p>
    <w:p w14:paraId="3569A931">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p>
    <w:p w14:paraId="318C9C09">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14:paraId="7A4AD9EF">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联系人：联系电话：</w:t>
      </w:r>
    </w:p>
    <w:p w14:paraId="2497AFC5">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p>
    <w:p w14:paraId="6A3EDB7A">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14:paraId="0876B908">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14:paraId="4DA515FD">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14:paraId="51495996">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p>
    <w:p w14:paraId="05FE9EB2">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质疑项目的编号：包号：</w:t>
      </w:r>
    </w:p>
    <w:p w14:paraId="141AC5EB">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p>
    <w:p w14:paraId="62278523">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p>
    <w:p w14:paraId="212B7578">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14:paraId="1B4649B3">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p>
    <w:p w14:paraId="728607FB">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p>
    <w:p w14:paraId="1AED0B9E">
      <w:pPr>
        <w:adjustRightInd w:val="0"/>
        <w:snapToGrid w:val="0"/>
        <w:spacing w:line="312" w:lineRule="auto"/>
        <w:rPr>
          <w:rFonts w:hint="eastAsia" w:ascii="宋体" w:hAnsi="宋体" w:eastAsia="宋体" w:cs="宋体"/>
          <w:color w:val="auto"/>
          <w:sz w:val="28"/>
          <w:szCs w:val="28"/>
          <w:highlight w:val="none"/>
        </w:rPr>
      </w:pPr>
    </w:p>
    <w:p w14:paraId="12E36160">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p>
    <w:p w14:paraId="381B6376">
      <w:pPr>
        <w:adjustRightInd w:val="0"/>
        <w:snapToGrid w:val="0"/>
        <w:spacing w:line="312" w:lineRule="auto"/>
        <w:rPr>
          <w:rFonts w:hint="eastAsia" w:ascii="宋体" w:hAnsi="宋体" w:eastAsia="宋体" w:cs="宋体"/>
          <w:color w:val="auto"/>
          <w:sz w:val="28"/>
          <w:szCs w:val="28"/>
          <w:highlight w:val="none"/>
          <w:u w:val="dotted"/>
        </w:rPr>
      </w:pPr>
    </w:p>
    <w:p w14:paraId="0DC37991">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14:paraId="1F1B5F08">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781987F3">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14:paraId="06817183">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p>
    <w:p w14:paraId="2EEC685C">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3E6C6CFC">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609DD809">
      <w:pPr>
        <w:adjustRightInd w:val="0"/>
        <w:snapToGrid w:val="0"/>
        <w:spacing w:line="288" w:lineRule="auto"/>
        <w:rPr>
          <w:rFonts w:hint="eastAsia" w:ascii="宋体" w:hAnsi="宋体" w:eastAsia="宋体" w:cs="宋体"/>
          <w:color w:val="auto"/>
          <w:sz w:val="28"/>
          <w:szCs w:val="28"/>
          <w:highlight w:val="none"/>
        </w:rPr>
      </w:pPr>
    </w:p>
    <w:p w14:paraId="2275BEF7">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质疑函制作说明：</w:t>
      </w:r>
    </w:p>
    <w:p w14:paraId="1A2BE093">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1.供应商提出质疑时，应提交质疑函和必要的证明材料。</w:t>
      </w:r>
    </w:p>
    <w:p w14:paraId="20532EE3">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8"/>
          <w:szCs w:val="28"/>
          <w:highlight w:val="none"/>
        </w:rPr>
        <w:t>供应商签署的授权委托书。授权委托书应载明代理人的姓名或者名称、代理事项、具体权限、期限和相关事项。</w:t>
      </w:r>
    </w:p>
    <w:p w14:paraId="323A78E2">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3.质疑供应商若对项目的某一分包进行质疑，质疑函中应列明具体分包号。</w:t>
      </w:r>
    </w:p>
    <w:p w14:paraId="083C3558">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4.质疑函的质疑事项应具体、明确，并有必要的事实依据和法律依据。</w:t>
      </w:r>
    </w:p>
    <w:p w14:paraId="08D73023">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5.质疑函的质疑请求应与质疑事项相关。</w:t>
      </w:r>
    </w:p>
    <w:p w14:paraId="425E66E9">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3A9EDB53">
      <w:pPr>
        <w:snapToGrid w:val="0"/>
        <w:spacing w:line="300" w:lineRule="auto"/>
        <w:outlineLvl w:val="0"/>
        <w:rPr>
          <w:rFonts w:hint="eastAsia" w:ascii="宋体" w:hAnsi="宋体" w:eastAsia="宋体" w:cs="宋体"/>
          <w:color w:val="auto"/>
          <w:sz w:val="28"/>
          <w:szCs w:val="28"/>
          <w:highlight w:val="none"/>
        </w:rPr>
      </w:pPr>
    </w:p>
    <w:p w14:paraId="7B50E174">
      <w:pPr>
        <w:snapToGrid w:val="0"/>
        <w:spacing w:line="300" w:lineRule="auto"/>
        <w:outlineLvl w:val="0"/>
        <w:rPr>
          <w:rFonts w:hint="eastAsia" w:ascii="宋体" w:hAnsi="宋体" w:eastAsia="宋体" w:cs="宋体"/>
          <w:color w:val="auto"/>
          <w:sz w:val="28"/>
          <w:szCs w:val="28"/>
          <w:highlight w:val="none"/>
        </w:rPr>
      </w:pPr>
    </w:p>
    <w:p w14:paraId="68E62B54">
      <w:pPr>
        <w:spacing w:line="312" w:lineRule="auto"/>
        <w:rPr>
          <w:rFonts w:hint="eastAsia" w:ascii="宋体" w:hAnsi="宋体" w:eastAsia="宋体" w:cs="宋体"/>
          <w:color w:val="auto"/>
          <w:sz w:val="28"/>
          <w:szCs w:val="28"/>
          <w:highlight w:val="none"/>
        </w:rPr>
      </w:pPr>
    </w:p>
    <w:sectPr>
      <w:footerReference r:id="rId8" w:type="default"/>
      <w:pgSz w:w="11915" w:h="16840"/>
      <w:pgMar w:top="1440" w:right="1758" w:bottom="1440" w:left="1758" w:header="851" w:footer="85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FCBDB">
    <w:pPr>
      <w:spacing w:line="168" w:lineRule="auto"/>
      <w:ind w:left="4412"/>
      <w:rPr>
        <w:rFonts w:ascii="Calibri" w:hAnsi="Calibri" w:eastAsia="Calibri" w:cs="Calibri"/>
        <w:sz w:val="18"/>
        <w:szCs w:val="18"/>
      </w:rPr>
    </w:pPr>
    <w:r>
      <w:rPr>
        <w:sz w:val="18"/>
      </w:rPr>
      <w:pict>
        <v:shape id="文本框 7" o:spid="_x0000_s410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v:imagedata o:title=""/>
          <o:lock v:ext="edit" aspectratio="f"/>
          <v:textbox inset="0mm,0mm,0mm,0mm" style="mso-fit-shape-to-text:t;">
            <w:txbxContent>
              <w:p w14:paraId="2605D1B0">
                <w:pPr>
                  <w:pStyle w:val="11"/>
                </w:pPr>
                <w:r>
                  <w:fldChar w:fldCharType="begin"/>
                </w:r>
                <w:r>
                  <w:instrText xml:space="preserve"> PAGE  \* MERGEFORMAT </w:instrText>
                </w:r>
                <w:r>
                  <w:fldChar w:fldCharType="separate"/>
                </w:r>
                <w:r>
                  <w:t>13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BEA6">
    <w:pPr>
      <w:spacing w:line="169" w:lineRule="auto"/>
      <w:ind w:left="4406"/>
      <w:rPr>
        <w:rFonts w:ascii="Calibri" w:hAnsi="Calibri" w:eastAsia="Calibri" w:cs="Calibri"/>
        <w:sz w:val="18"/>
        <w:szCs w:val="18"/>
      </w:rPr>
    </w:pPr>
    <w:r>
      <w:rPr>
        <w:sz w:val="18"/>
      </w:rPr>
      <w:pict>
        <v:shape id="文本框 20" o:spid="_x0000_s410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path/>
          <v:fill on="f" focussize="0,0"/>
          <v:stroke on="f" weight="0.5pt"/>
          <v:imagedata o:title=""/>
          <o:lock v:ext="edit" aspectratio="f"/>
          <v:textbox inset="0mm,0mm,0mm,0mm" style="mso-fit-shape-to-text:t;">
            <w:txbxContent>
              <w:p w14:paraId="03AF7BB5">
                <w:pPr>
                  <w:pStyle w:val="11"/>
                </w:pPr>
                <w:r>
                  <w:fldChar w:fldCharType="begin"/>
                </w:r>
                <w:r>
                  <w:instrText xml:space="preserve"> PAGE  \* MERGEFORMAT </w:instrText>
                </w:r>
                <w:r>
                  <w:fldChar w:fldCharType="separate"/>
                </w:r>
                <w:r>
                  <w:t>24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1D6A">
    <w:pPr>
      <w:spacing w:line="169" w:lineRule="auto"/>
      <w:ind w:left="4406"/>
      <w:rPr>
        <w:rFonts w:ascii="Calibri" w:hAnsi="Calibri" w:eastAsia="Calibri" w:cs="Calibri"/>
        <w:sz w:val="18"/>
        <w:szCs w:val="18"/>
      </w:rPr>
    </w:pPr>
    <w:r>
      <w:rPr>
        <w:sz w:val="18"/>
      </w:rPr>
      <w:pict>
        <v:shape id="文本框 13" o:spid="_x0000_s410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path/>
          <v:fill on="f" focussize="0,0"/>
          <v:stroke on="f" weight="0.5pt"/>
          <v:imagedata o:title=""/>
          <o:lock v:ext="edit" aspectratio="f"/>
          <v:textbox inset="0mm,0mm,0mm,0mm" style="mso-fit-shape-to-text:t;">
            <w:txbxContent>
              <w:p w14:paraId="11A8E836">
                <w:pPr>
                  <w:pStyle w:val="11"/>
                </w:pPr>
                <w:r>
                  <w:fldChar w:fldCharType="begin"/>
                </w:r>
                <w:r>
                  <w:instrText xml:space="preserve"> PAGE  \* MERGEFORMAT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62EB2">
    <w:pPr>
      <w:spacing w:line="169" w:lineRule="auto"/>
      <w:ind w:left="4406"/>
      <w:rPr>
        <w:rFonts w:ascii="Calibri" w:hAnsi="Calibri" w:eastAsia="Calibri" w:cs="Calibri"/>
        <w:sz w:val="18"/>
        <w:szCs w:val="18"/>
      </w:rPr>
    </w:pPr>
    <w:r>
      <w:rPr>
        <w:sz w:val="18"/>
      </w:rPr>
      <w:pict>
        <v:shape id="文本框 15" o:spid="_x0000_s410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path/>
          <v:fill on="f" focussize="0,0"/>
          <v:stroke on="f" weight="0.5pt"/>
          <v:imagedata o:title=""/>
          <o:lock v:ext="edit" aspectratio="f"/>
          <v:textbox inset="0mm,0mm,0mm,0mm" style="mso-fit-shape-to-text:t;">
            <w:txbxContent>
              <w:p w14:paraId="3FD92849">
                <w:pPr>
                  <w:pStyle w:val="11"/>
                </w:pPr>
                <w:r>
                  <w:fldChar w:fldCharType="begin"/>
                </w:r>
                <w:r>
                  <w:instrText xml:space="preserve"> PAGE  \* MERGEFORMAT </w:instrText>
                </w:r>
                <w:r>
                  <w:fldChar w:fldCharType="separate"/>
                </w:r>
                <w:r>
                  <w:t>30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EEC9">
    <w:pPr>
      <w:spacing w:line="169" w:lineRule="auto"/>
      <w:ind w:left="4592"/>
      <w:rPr>
        <w:rFonts w:ascii="Calibri" w:hAnsi="Calibri" w:eastAsia="Calibri" w:cs="Calibri"/>
        <w:sz w:val="18"/>
        <w:szCs w:val="18"/>
      </w:rPr>
    </w:pPr>
    <w:r>
      <w:rPr>
        <w:sz w:val="18"/>
      </w:rPr>
      <w:pict>
        <v:shape id="文本框 16" o:spid="_x0000_s410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path/>
          <v:fill on="f" focussize="0,0"/>
          <v:stroke on="f" weight="0.5pt"/>
          <v:imagedata o:title=""/>
          <o:lock v:ext="edit" aspectratio="f"/>
          <v:textbox inset="0mm,0mm,0mm,0mm" style="mso-fit-shape-to-text:t;">
            <w:txbxContent>
              <w:p w14:paraId="426B0D54">
                <w:pPr>
                  <w:pStyle w:val="11"/>
                </w:pPr>
                <w:r>
                  <w:fldChar w:fldCharType="begin"/>
                </w:r>
                <w:r>
                  <w:instrText xml:space="preserve"> PAGE  \* MERGEFORMAT </w:instrText>
                </w:r>
                <w:r>
                  <w:fldChar w:fldCharType="separate"/>
                </w:r>
                <w:r>
                  <w:t>31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A8B59">
    <w:pPr>
      <w:pStyle w:val="11"/>
      <w:rPr>
        <w:rFonts w:ascii="Times New Roman" w:hAnsi="Times New Roman"/>
        <w:sz w:val="28"/>
        <w:szCs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80529BA">
                <w:pPr>
                  <w:pStyle w:val="11"/>
                </w:pPr>
                <w:r>
                  <w:fldChar w:fldCharType="begin"/>
                </w:r>
                <w:r>
                  <w:instrText xml:space="preserve"> PAGE  \* MERGEFORMAT </w:instrText>
                </w:r>
                <w:r>
                  <w:fldChar w:fldCharType="separate"/>
                </w:r>
                <w:r>
                  <w:t>41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1E686"/>
    <w:multiLevelType w:val="singleLevel"/>
    <w:tmpl w:val="C051E686"/>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Y1ZjNlYzYxNDY0NDIxZjM3YjY5YTY5ZjI0ZjdiMTkifQ=="/>
  </w:docVars>
  <w:rsids>
    <w:rsidRoot w:val="72DA44FF"/>
    <w:rsid w:val="000031BB"/>
    <w:rsid w:val="000120F6"/>
    <w:rsid w:val="00013AEC"/>
    <w:rsid w:val="00023F33"/>
    <w:rsid w:val="00030D94"/>
    <w:rsid w:val="0005603F"/>
    <w:rsid w:val="00082B3E"/>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6193"/>
    <w:rsid w:val="00123BCF"/>
    <w:rsid w:val="0014136A"/>
    <w:rsid w:val="0014771D"/>
    <w:rsid w:val="00151A61"/>
    <w:rsid w:val="00177C0D"/>
    <w:rsid w:val="001A44DD"/>
    <w:rsid w:val="001A768E"/>
    <w:rsid w:val="001D4F48"/>
    <w:rsid w:val="001E0D3F"/>
    <w:rsid w:val="001F141B"/>
    <w:rsid w:val="001F3BB0"/>
    <w:rsid w:val="001F68BD"/>
    <w:rsid w:val="00203E2B"/>
    <w:rsid w:val="00205D51"/>
    <w:rsid w:val="00207D4F"/>
    <w:rsid w:val="00210BA2"/>
    <w:rsid w:val="00217FBF"/>
    <w:rsid w:val="00236474"/>
    <w:rsid w:val="002378FE"/>
    <w:rsid w:val="00241ACF"/>
    <w:rsid w:val="00244DEB"/>
    <w:rsid w:val="002500D3"/>
    <w:rsid w:val="0025265F"/>
    <w:rsid w:val="00257691"/>
    <w:rsid w:val="00286C87"/>
    <w:rsid w:val="002B613D"/>
    <w:rsid w:val="002C0F03"/>
    <w:rsid w:val="002D5236"/>
    <w:rsid w:val="003037A3"/>
    <w:rsid w:val="00310D5F"/>
    <w:rsid w:val="003121C2"/>
    <w:rsid w:val="00315121"/>
    <w:rsid w:val="00322348"/>
    <w:rsid w:val="00323215"/>
    <w:rsid w:val="003364F4"/>
    <w:rsid w:val="00342187"/>
    <w:rsid w:val="00380875"/>
    <w:rsid w:val="003820DA"/>
    <w:rsid w:val="003A4DF6"/>
    <w:rsid w:val="003B0EC9"/>
    <w:rsid w:val="003B0F20"/>
    <w:rsid w:val="003C03B5"/>
    <w:rsid w:val="003C130D"/>
    <w:rsid w:val="003C21FD"/>
    <w:rsid w:val="003C50A5"/>
    <w:rsid w:val="003C693E"/>
    <w:rsid w:val="003C76E6"/>
    <w:rsid w:val="003F4FD8"/>
    <w:rsid w:val="004004D4"/>
    <w:rsid w:val="00421872"/>
    <w:rsid w:val="0043270D"/>
    <w:rsid w:val="00433C8F"/>
    <w:rsid w:val="004366FE"/>
    <w:rsid w:val="004378CD"/>
    <w:rsid w:val="004444FD"/>
    <w:rsid w:val="0044663C"/>
    <w:rsid w:val="004541EF"/>
    <w:rsid w:val="004570AF"/>
    <w:rsid w:val="00460E4A"/>
    <w:rsid w:val="0046257E"/>
    <w:rsid w:val="0047403B"/>
    <w:rsid w:val="00487902"/>
    <w:rsid w:val="00491D67"/>
    <w:rsid w:val="00497694"/>
    <w:rsid w:val="004A0780"/>
    <w:rsid w:val="004A7ADC"/>
    <w:rsid w:val="004C4933"/>
    <w:rsid w:val="004E5643"/>
    <w:rsid w:val="004F6F7F"/>
    <w:rsid w:val="0050377F"/>
    <w:rsid w:val="0052647E"/>
    <w:rsid w:val="00535E2F"/>
    <w:rsid w:val="00543DB1"/>
    <w:rsid w:val="00544FA2"/>
    <w:rsid w:val="0056132A"/>
    <w:rsid w:val="0056629C"/>
    <w:rsid w:val="00570FAB"/>
    <w:rsid w:val="00580847"/>
    <w:rsid w:val="005827AC"/>
    <w:rsid w:val="00585220"/>
    <w:rsid w:val="00590012"/>
    <w:rsid w:val="005962CC"/>
    <w:rsid w:val="005C5DCC"/>
    <w:rsid w:val="005D23AE"/>
    <w:rsid w:val="005D378A"/>
    <w:rsid w:val="005E605F"/>
    <w:rsid w:val="005F05EF"/>
    <w:rsid w:val="00602CBB"/>
    <w:rsid w:val="006050D1"/>
    <w:rsid w:val="006166DC"/>
    <w:rsid w:val="00624A21"/>
    <w:rsid w:val="00635D3A"/>
    <w:rsid w:val="0067318C"/>
    <w:rsid w:val="00683185"/>
    <w:rsid w:val="006910F6"/>
    <w:rsid w:val="0069144B"/>
    <w:rsid w:val="00692BF4"/>
    <w:rsid w:val="006937C8"/>
    <w:rsid w:val="006A3707"/>
    <w:rsid w:val="006A76F6"/>
    <w:rsid w:val="006B111D"/>
    <w:rsid w:val="006B386F"/>
    <w:rsid w:val="006B5AD4"/>
    <w:rsid w:val="006B7CD3"/>
    <w:rsid w:val="006C05FC"/>
    <w:rsid w:val="006C10CF"/>
    <w:rsid w:val="006C7881"/>
    <w:rsid w:val="006F435E"/>
    <w:rsid w:val="006F61CB"/>
    <w:rsid w:val="006F72CE"/>
    <w:rsid w:val="0071021D"/>
    <w:rsid w:val="00711944"/>
    <w:rsid w:val="00715C56"/>
    <w:rsid w:val="00734BD1"/>
    <w:rsid w:val="007412AA"/>
    <w:rsid w:val="00747FCA"/>
    <w:rsid w:val="00750D27"/>
    <w:rsid w:val="00751867"/>
    <w:rsid w:val="0076392A"/>
    <w:rsid w:val="0076663F"/>
    <w:rsid w:val="00781367"/>
    <w:rsid w:val="00793C13"/>
    <w:rsid w:val="007C4F8B"/>
    <w:rsid w:val="007D2FB6"/>
    <w:rsid w:val="007E1FC8"/>
    <w:rsid w:val="007E4447"/>
    <w:rsid w:val="00803D68"/>
    <w:rsid w:val="008076E2"/>
    <w:rsid w:val="00810BD0"/>
    <w:rsid w:val="00814356"/>
    <w:rsid w:val="00825213"/>
    <w:rsid w:val="0083002F"/>
    <w:rsid w:val="00835E9C"/>
    <w:rsid w:val="00852DE3"/>
    <w:rsid w:val="008802F0"/>
    <w:rsid w:val="00893CDE"/>
    <w:rsid w:val="008B5DEC"/>
    <w:rsid w:val="008D4AE6"/>
    <w:rsid w:val="008D5924"/>
    <w:rsid w:val="008D7681"/>
    <w:rsid w:val="008F4E65"/>
    <w:rsid w:val="0091137A"/>
    <w:rsid w:val="00923838"/>
    <w:rsid w:val="009312BD"/>
    <w:rsid w:val="009469C4"/>
    <w:rsid w:val="00975836"/>
    <w:rsid w:val="00977060"/>
    <w:rsid w:val="009860DC"/>
    <w:rsid w:val="009937E8"/>
    <w:rsid w:val="009A58D1"/>
    <w:rsid w:val="009B79B1"/>
    <w:rsid w:val="009C0E7F"/>
    <w:rsid w:val="009C3F85"/>
    <w:rsid w:val="009D047A"/>
    <w:rsid w:val="009E04A4"/>
    <w:rsid w:val="009F049D"/>
    <w:rsid w:val="009F5E2A"/>
    <w:rsid w:val="00A0044C"/>
    <w:rsid w:val="00A01372"/>
    <w:rsid w:val="00A019A2"/>
    <w:rsid w:val="00A02BBB"/>
    <w:rsid w:val="00A23CEC"/>
    <w:rsid w:val="00A23D2F"/>
    <w:rsid w:val="00A273B3"/>
    <w:rsid w:val="00A27C99"/>
    <w:rsid w:val="00A4744A"/>
    <w:rsid w:val="00A6197F"/>
    <w:rsid w:val="00A66D3B"/>
    <w:rsid w:val="00A70A9B"/>
    <w:rsid w:val="00A737C2"/>
    <w:rsid w:val="00A751DC"/>
    <w:rsid w:val="00A77BDF"/>
    <w:rsid w:val="00A818AF"/>
    <w:rsid w:val="00AD3E11"/>
    <w:rsid w:val="00B01D53"/>
    <w:rsid w:val="00B16617"/>
    <w:rsid w:val="00B61542"/>
    <w:rsid w:val="00B654EA"/>
    <w:rsid w:val="00B82506"/>
    <w:rsid w:val="00B9181B"/>
    <w:rsid w:val="00B94CE5"/>
    <w:rsid w:val="00BA2423"/>
    <w:rsid w:val="00BA611D"/>
    <w:rsid w:val="00BD6400"/>
    <w:rsid w:val="00BE5D54"/>
    <w:rsid w:val="00BE6F5B"/>
    <w:rsid w:val="00C00A45"/>
    <w:rsid w:val="00C01D06"/>
    <w:rsid w:val="00C01E89"/>
    <w:rsid w:val="00C212F4"/>
    <w:rsid w:val="00C23DFA"/>
    <w:rsid w:val="00C26813"/>
    <w:rsid w:val="00C46100"/>
    <w:rsid w:val="00C57D84"/>
    <w:rsid w:val="00C7080C"/>
    <w:rsid w:val="00C85DF0"/>
    <w:rsid w:val="00CB17F4"/>
    <w:rsid w:val="00CB3C17"/>
    <w:rsid w:val="00CD6FDE"/>
    <w:rsid w:val="00CE346F"/>
    <w:rsid w:val="00D07D82"/>
    <w:rsid w:val="00D112D6"/>
    <w:rsid w:val="00D114FD"/>
    <w:rsid w:val="00D24CF9"/>
    <w:rsid w:val="00D30BC0"/>
    <w:rsid w:val="00D35140"/>
    <w:rsid w:val="00D3580A"/>
    <w:rsid w:val="00D372DA"/>
    <w:rsid w:val="00D40E78"/>
    <w:rsid w:val="00D42457"/>
    <w:rsid w:val="00D75781"/>
    <w:rsid w:val="00D817F3"/>
    <w:rsid w:val="00D8449B"/>
    <w:rsid w:val="00D94BE9"/>
    <w:rsid w:val="00D97CD4"/>
    <w:rsid w:val="00DA7FDD"/>
    <w:rsid w:val="00DB0445"/>
    <w:rsid w:val="00DB19D8"/>
    <w:rsid w:val="00DB4CE7"/>
    <w:rsid w:val="00DD0017"/>
    <w:rsid w:val="00DD0B98"/>
    <w:rsid w:val="00DD1B55"/>
    <w:rsid w:val="00DD3CB2"/>
    <w:rsid w:val="00DD6AE4"/>
    <w:rsid w:val="00DE7AB0"/>
    <w:rsid w:val="00DF0125"/>
    <w:rsid w:val="00DF7C9E"/>
    <w:rsid w:val="00E0598E"/>
    <w:rsid w:val="00E12985"/>
    <w:rsid w:val="00E27C07"/>
    <w:rsid w:val="00E56192"/>
    <w:rsid w:val="00E57C52"/>
    <w:rsid w:val="00E612F6"/>
    <w:rsid w:val="00E66E9B"/>
    <w:rsid w:val="00E67873"/>
    <w:rsid w:val="00E90ABE"/>
    <w:rsid w:val="00EA05C0"/>
    <w:rsid w:val="00EA3731"/>
    <w:rsid w:val="00EA4BC5"/>
    <w:rsid w:val="00EA5A08"/>
    <w:rsid w:val="00EB4B03"/>
    <w:rsid w:val="00EC4009"/>
    <w:rsid w:val="00EF5DB7"/>
    <w:rsid w:val="00F21BDD"/>
    <w:rsid w:val="00F25735"/>
    <w:rsid w:val="00F34615"/>
    <w:rsid w:val="00F459CA"/>
    <w:rsid w:val="00F54BE6"/>
    <w:rsid w:val="00F7090D"/>
    <w:rsid w:val="00F9663B"/>
    <w:rsid w:val="00FA0D33"/>
    <w:rsid w:val="00FA62B9"/>
    <w:rsid w:val="00FC35B2"/>
    <w:rsid w:val="00FF2CF6"/>
    <w:rsid w:val="00FF4D3F"/>
    <w:rsid w:val="00FF6AE3"/>
    <w:rsid w:val="011B466A"/>
    <w:rsid w:val="01DF2B34"/>
    <w:rsid w:val="01F17356"/>
    <w:rsid w:val="0221497E"/>
    <w:rsid w:val="0227545C"/>
    <w:rsid w:val="02411B93"/>
    <w:rsid w:val="02897931"/>
    <w:rsid w:val="02E37041"/>
    <w:rsid w:val="03990047"/>
    <w:rsid w:val="03A3046B"/>
    <w:rsid w:val="03AC07D6"/>
    <w:rsid w:val="0405748B"/>
    <w:rsid w:val="04231D23"/>
    <w:rsid w:val="044C052E"/>
    <w:rsid w:val="048E7480"/>
    <w:rsid w:val="04A8035C"/>
    <w:rsid w:val="04FF3EDA"/>
    <w:rsid w:val="05184F9C"/>
    <w:rsid w:val="053E2C54"/>
    <w:rsid w:val="057B186A"/>
    <w:rsid w:val="06023C82"/>
    <w:rsid w:val="060914B4"/>
    <w:rsid w:val="063127B9"/>
    <w:rsid w:val="06F207A1"/>
    <w:rsid w:val="075020E6"/>
    <w:rsid w:val="07944DAE"/>
    <w:rsid w:val="07A1604B"/>
    <w:rsid w:val="085A3487"/>
    <w:rsid w:val="08C07E24"/>
    <w:rsid w:val="09045F63"/>
    <w:rsid w:val="091D7025"/>
    <w:rsid w:val="09A137B2"/>
    <w:rsid w:val="0A083831"/>
    <w:rsid w:val="0A821835"/>
    <w:rsid w:val="0A862501"/>
    <w:rsid w:val="0B2B5A67"/>
    <w:rsid w:val="0B330D82"/>
    <w:rsid w:val="0B56577A"/>
    <w:rsid w:val="0B685928"/>
    <w:rsid w:val="0B700E0C"/>
    <w:rsid w:val="0BAF665A"/>
    <w:rsid w:val="0CC32F3E"/>
    <w:rsid w:val="0CF63E15"/>
    <w:rsid w:val="0E3B3D37"/>
    <w:rsid w:val="0E52151F"/>
    <w:rsid w:val="0E867A2B"/>
    <w:rsid w:val="0F1D38DB"/>
    <w:rsid w:val="0FD96366"/>
    <w:rsid w:val="0FFC0273"/>
    <w:rsid w:val="0FFC5BE6"/>
    <w:rsid w:val="100F6863"/>
    <w:rsid w:val="101A42BE"/>
    <w:rsid w:val="101F6CD7"/>
    <w:rsid w:val="107C30FC"/>
    <w:rsid w:val="107E484D"/>
    <w:rsid w:val="10D17073"/>
    <w:rsid w:val="10DE1449"/>
    <w:rsid w:val="11535CDA"/>
    <w:rsid w:val="124675EC"/>
    <w:rsid w:val="125D0444"/>
    <w:rsid w:val="127C39BF"/>
    <w:rsid w:val="13135720"/>
    <w:rsid w:val="13255FEB"/>
    <w:rsid w:val="13DF1AA7"/>
    <w:rsid w:val="13F76DF0"/>
    <w:rsid w:val="14593E59"/>
    <w:rsid w:val="15A8272D"/>
    <w:rsid w:val="15C727F2"/>
    <w:rsid w:val="16276709"/>
    <w:rsid w:val="16443E43"/>
    <w:rsid w:val="164825DB"/>
    <w:rsid w:val="169F72CB"/>
    <w:rsid w:val="16CB4564"/>
    <w:rsid w:val="16DC051F"/>
    <w:rsid w:val="16EA4A2B"/>
    <w:rsid w:val="170610F8"/>
    <w:rsid w:val="17141A67"/>
    <w:rsid w:val="17263548"/>
    <w:rsid w:val="1732013F"/>
    <w:rsid w:val="17B500E2"/>
    <w:rsid w:val="17EC4792"/>
    <w:rsid w:val="18550589"/>
    <w:rsid w:val="187C78C4"/>
    <w:rsid w:val="18890233"/>
    <w:rsid w:val="18AE7C99"/>
    <w:rsid w:val="19113420"/>
    <w:rsid w:val="19923117"/>
    <w:rsid w:val="1A0F29BA"/>
    <w:rsid w:val="1A3B49D3"/>
    <w:rsid w:val="1A554756"/>
    <w:rsid w:val="1A9B5FFB"/>
    <w:rsid w:val="1B087B35"/>
    <w:rsid w:val="1B2B737F"/>
    <w:rsid w:val="1B525A3A"/>
    <w:rsid w:val="1B9B2757"/>
    <w:rsid w:val="1BB90E2F"/>
    <w:rsid w:val="1BD15BBA"/>
    <w:rsid w:val="1BF60EA2"/>
    <w:rsid w:val="1C8B457A"/>
    <w:rsid w:val="1CF42CA9"/>
    <w:rsid w:val="1D4B5AB7"/>
    <w:rsid w:val="1D6512B9"/>
    <w:rsid w:val="1DFE3E65"/>
    <w:rsid w:val="1E285DF8"/>
    <w:rsid w:val="1E391DB3"/>
    <w:rsid w:val="1E63469D"/>
    <w:rsid w:val="1EA82360"/>
    <w:rsid w:val="1F66307C"/>
    <w:rsid w:val="2004056C"/>
    <w:rsid w:val="200603BB"/>
    <w:rsid w:val="21025026"/>
    <w:rsid w:val="210D5718"/>
    <w:rsid w:val="212526B3"/>
    <w:rsid w:val="21411C9A"/>
    <w:rsid w:val="216058A9"/>
    <w:rsid w:val="21D829E7"/>
    <w:rsid w:val="22680EB9"/>
    <w:rsid w:val="22A2261D"/>
    <w:rsid w:val="22A81D4C"/>
    <w:rsid w:val="22B23A3A"/>
    <w:rsid w:val="2335523F"/>
    <w:rsid w:val="23A97579"/>
    <w:rsid w:val="242B4894"/>
    <w:rsid w:val="24507E57"/>
    <w:rsid w:val="254C4AC2"/>
    <w:rsid w:val="256F266F"/>
    <w:rsid w:val="25A247EC"/>
    <w:rsid w:val="2601765A"/>
    <w:rsid w:val="26061132"/>
    <w:rsid w:val="26445799"/>
    <w:rsid w:val="264F42F2"/>
    <w:rsid w:val="266A5B80"/>
    <w:rsid w:val="26D507ED"/>
    <w:rsid w:val="2705317A"/>
    <w:rsid w:val="271B3B9F"/>
    <w:rsid w:val="275D6B12"/>
    <w:rsid w:val="27983FEE"/>
    <w:rsid w:val="27BB7CDD"/>
    <w:rsid w:val="27C2106B"/>
    <w:rsid w:val="283F446A"/>
    <w:rsid w:val="286001FB"/>
    <w:rsid w:val="286D547B"/>
    <w:rsid w:val="28DB0637"/>
    <w:rsid w:val="28FD7399"/>
    <w:rsid w:val="29235B3A"/>
    <w:rsid w:val="29950680"/>
    <w:rsid w:val="29B11398"/>
    <w:rsid w:val="29C410CB"/>
    <w:rsid w:val="2A473AAA"/>
    <w:rsid w:val="2A677CA8"/>
    <w:rsid w:val="2ABA60BB"/>
    <w:rsid w:val="2AE92B8B"/>
    <w:rsid w:val="2B185933"/>
    <w:rsid w:val="2B45623B"/>
    <w:rsid w:val="2B886128"/>
    <w:rsid w:val="2BFA7026"/>
    <w:rsid w:val="2C2873B0"/>
    <w:rsid w:val="2C311191"/>
    <w:rsid w:val="2C416D72"/>
    <w:rsid w:val="2D494239"/>
    <w:rsid w:val="2D6501FC"/>
    <w:rsid w:val="2D8F7C42"/>
    <w:rsid w:val="2E625356"/>
    <w:rsid w:val="2E6C46A3"/>
    <w:rsid w:val="2EA72180"/>
    <w:rsid w:val="2ED3590C"/>
    <w:rsid w:val="2F2F348A"/>
    <w:rsid w:val="2F5C288F"/>
    <w:rsid w:val="2FD806EA"/>
    <w:rsid w:val="2FE343BA"/>
    <w:rsid w:val="30C6397A"/>
    <w:rsid w:val="30F85AFE"/>
    <w:rsid w:val="3182062E"/>
    <w:rsid w:val="31A83080"/>
    <w:rsid w:val="32145A07"/>
    <w:rsid w:val="323E5792"/>
    <w:rsid w:val="32456E89"/>
    <w:rsid w:val="34076784"/>
    <w:rsid w:val="34143B25"/>
    <w:rsid w:val="3422536C"/>
    <w:rsid w:val="34722ED2"/>
    <w:rsid w:val="348451A1"/>
    <w:rsid w:val="349C3C37"/>
    <w:rsid w:val="351849C1"/>
    <w:rsid w:val="356203CC"/>
    <w:rsid w:val="35C52022"/>
    <w:rsid w:val="35D05C27"/>
    <w:rsid w:val="35EF72F8"/>
    <w:rsid w:val="35F17A7C"/>
    <w:rsid w:val="360A4309"/>
    <w:rsid w:val="361E2B75"/>
    <w:rsid w:val="363C648D"/>
    <w:rsid w:val="36415E39"/>
    <w:rsid w:val="37896C52"/>
    <w:rsid w:val="38072EB2"/>
    <w:rsid w:val="38DF5FF4"/>
    <w:rsid w:val="38FE711D"/>
    <w:rsid w:val="3AA23689"/>
    <w:rsid w:val="3AAC27E9"/>
    <w:rsid w:val="3B0C0B24"/>
    <w:rsid w:val="3B491430"/>
    <w:rsid w:val="3BFF70EB"/>
    <w:rsid w:val="3C0B4511"/>
    <w:rsid w:val="3C265C15"/>
    <w:rsid w:val="3C3C71E7"/>
    <w:rsid w:val="3C477110"/>
    <w:rsid w:val="3C553E04"/>
    <w:rsid w:val="3C7945AF"/>
    <w:rsid w:val="3CD3774B"/>
    <w:rsid w:val="3D5D11C3"/>
    <w:rsid w:val="3D6F7148"/>
    <w:rsid w:val="3DB41ED8"/>
    <w:rsid w:val="3DB652AD"/>
    <w:rsid w:val="3DBB5DC7"/>
    <w:rsid w:val="3DBD4B3D"/>
    <w:rsid w:val="3E595E2E"/>
    <w:rsid w:val="3E611D45"/>
    <w:rsid w:val="3ECA4532"/>
    <w:rsid w:val="3EEF22EE"/>
    <w:rsid w:val="3FAB3A69"/>
    <w:rsid w:val="40A40D4F"/>
    <w:rsid w:val="40B90E06"/>
    <w:rsid w:val="40D914A8"/>
    <w:rsid w:val="40F36293"/>
    <w:rsid w:val="41735459"/>
    <w:rsid w:val="419B2E13"/>
    <w:rsid w:val="42201879"/>
    <w:rsid w:val="42957651"/>
    <w:rsid w:val="42CE526A"/>
    <w:rsid w:val="438020AF"/>
    <w:rsid w:val="43F6411F"/>
    <w:rsid w:val="440B0B14"/>
    <w:rsid w:val="45284A5E"/>
    <w:rsid w:val="454D4212"/>
    <w:rsid w:val="456B6431"/>
    <w:rsid w:val="45AB0DE1"/>
    <w:rsid w:val="45CF4C28"/>
    <w:rsid w:val="46144D30"/>
    <w:rsid w:val="46366A55"/>
    <w:rsid w:val="46A9191C"/>
    <w:rsid w:val="46B54E47"/>
    <w:rsid w:val="46D85D5E"/>
    <w:rsid w:val="4729457C"/>
    <w:rsid w:val="47874EA9"/>
    <w:rsid w:val="47B440D5"/>
    <w:rsid w:val="47B44676"/>
    <w:rsid w:val="4803701A"/>
    <w:rsid w:val="48272AF9"/>
    <w:rsid w:val="488066AD"/>
    <w:rsid w:val="49530312"/>
    <w:rsid w:val="49ED64C9"/>
    <w:rsid w:val="4A631DE2"/>
    <w:rsid w:val="4AF36E2F"/>
    <w:rsid w:val="4AFD5D93"/>
    <w:rsid w:val="4B48499E"/>
    <w:rsid w:val="4B6127C6"/>
    <w:rsid w:val="4B876D4C"/>
    <w:rsid w:val="4BDB5372"/>
    <w:rsid w:val="4C5365B2"/>
    <w:rsid w:val="4C7A32E7"/>
    <w:rsid w:val="4C7A7127"/>
    <w:rsid w:val="4D537EEC"/>
    <w:rsid w:val="4D693BB4"/>
    <w:rsid w:val="4DF94F37"/>
    <w:rsid w:val="4E023E15"/>
    <w:rsid w:val="4F100820"/>
    <w:rsid w:val="4FB70C06"/>
    <w:rsid w:val="50130B14"/>
    <w:rsid w:val="50575F45"/>
    <w:rsid w:val="507A635B"/>
    <w:rsid w:val="508F56DF"/>
    <w:rsid w:val="511622ED"/>
    <w:rsid w:val="514207FD"/>
    <w:rsid w:val="51A73905"/>
    <w:rsid w:val="523C53F3"/>
    <w:rsid w:val="52C74869"/>
    <w:rsid w:val="53430A03"/>
    <w:rsid w:val="53A5521A"/>
    <w:rsid w:val="53BC7CB1"/>
    <w:rsid w:val="53DB2795"/>
    <w:rsid w:val="541226FC"/>
    <w:rsid w:val="54493DF7"/>
    <w:rsid w:val="54896BD1"/>
    <w:rsid w:val="54AD6A7C"/>
    <w:rsid w:val="54D97871"/>
    <w:rsid w:val="54DB230D"/>
    <w:rsid w:val="553E76D4"/>
    <w:rsid w:val="5543118E"/>
    <w:rsid w:val="55944C0E"/>
    <w:rsid w:val="56C37E91"/>
    <w:rsid w:val="571E5A0F"/>
    <w:rsid w:val="576D3087"/>
    <w:rsid w:val="5785783C"/>
    <w:rsid w:val="58311772"/>
    <w:rsid w:val="58CD149A"/>
    <w:rsid w:val="59012EF2"/>
    <w:rsid w:val="593A06B5"/>
    <w:rsid w:val="597933D0"/>
    <w:rsid w:val="59EA1BD8"/>
    <w:rsid w:val="5A3D7F5A"/>
    <w:rsid w:val="5A762450"/>
    <w:rsid w:val="5AC35A6B"/>
    <w:rsid w:val="5B5E0D4A"/>
    <w:rsid w:val="5BD111F4"/>
    <w:rsid w:val="5CC86EA4"/>
    <w:rsid w:val="5CE5193F"/>
    <w:rsid w:val="5D485594"/>
    <w:rsid w:val="5D6A375C"/>
    <w:rsid w:val="5DA0717E"/>
    <w:rsid w:val="5DA54794"/>
    <w:rsid w:val="5DDB6408"/>
    <w:rsid w:val="5DE739E9"/>
    <w:rsid w:val="5E3D507A"/>
    <w:rsid w:val="5EA54320"/>
    <w:rsid w:val="5F243677"/>
    <w:rsid w:val="5F4A16A1"/>
    <w:rsid w:val="5F6B7317"/>
    <w:rsid w:val="5F943E34"/>
    <w:rsid w:val="5F9C69B7"/>
    <w:rsid w:val="5FB92779"/>
    <w:rsid w:val="600F4147"/>
    <w:rsid w:val="611D2893"/>
    <w:rsid w:val="6130766C"/>
    <w:rsid w:val="61B74A96"/>
    <w:rsid w:val="61C80A51"/>
    <w:rsid w:val="61DC7186"/>
    <w:rsid w:val="621F0086"/>
    <w:rsid w:val="623844F4"/>
    <w:rsid w:val="625D388F"/>
    <w:rsid w:val="62766E03"/>
    <w:rsid w:val="62FB09B2"/>
    <w:rsid w:val="63531F8D"/>
    <w:rsid w:val="63536A40"/>
    <w:rsid w:val="637A3FCD"/>
    <w:rsid w:val="638C227F"/>
    <w:rsid w:val="639B7CD8"/>
    <w:rsid w:val="63F01943"/>
    <w:rsid w:val="64256973"/>
    <w:rsid w:val="643B19AE"/>
    <w:rsid w:val="646B5C51"/>
    <w:rsid w:val="647E0EAE"/>
    <w:rsid w:val="64901CDF"/>
    <w:rsid w:val="64E102CB"/>
    <w:rsid w:val="64E12312"/>
    <w:rsid w:val="6578453C"/>
    <w:rsid w:val="65B35574"/>
    <w:rsid w:val="65DB74FA"/>
    <w:rsid w:val="65E87914"/>
    <w:rsid w:val="665E7416"/>
    <w:rsid w:val="66BB5028"/>
    <w:rsid w:val="67486190"/>
    <w:rsid w:val="675F6A22"/>
    <w:rsid w:val="67BA0E3C"/>
    <w:rsid w:val="68120FE3"/>
    <w:rsid w:val="69074555"/>
    <w:rsid w:val="69635503"/>
    <w:rsid w:val="69B35505"/>
    <w:rsid w:val="69B705EC"/>
    <w:rsid w:val="69E228CC"/>
    <w:rsid w:val="69EE301F"/>
    <w:rsid w:val="6A4E3ABD"/>
    <w:rsid w:val="6AA3205B"/>
    <w:rsid w:val="6AF059AE"/>
    <w:rsid w:val="6B405AFC"/>
    <w:rsid w:val="6B442F1F"/>
    <w:rsid w:val="6BEA3CBA"/>
    <w:rsid w:val="6C264CF2"/>
    <w:rsid w:val="6CB56076"/>
    <w:rsid w:val="6D486EEA"/>
    <w:rsid w:val="6D884FF4"/>
    <w:rsid w:val="6DA700B4"/>
    <w:rsid w:val="6E39717B"/>
    <w:rsid w:val="6E49116B"/>
    <w:rsid w:val="6EAE5472"/>
    <w:rsid w:val="6EBF142E"/>
    <w:rsid w:val="6F285225"/>
    <w:rsid w:val="6FCA2ACC"/>
    <w:rsid w:val="700F08C0"/>
    <w:rsid w:val="701B6B38"/>
    <w:rsid w:val="704F0ED7"/>
    <w:rsid w:val="705B714E"/>
    <w:rsid w:val="706F2E94"/>
    <w:rsid w:val="710D46D2"/>
    <w:rsid w:val="713E0F09"/>
    <w:rsid w:val="71463740"/>
    <w:rsid w:val="71933005"/>
    <w:rsid w:val="71D34078"/>
    <w:rsid w:val="71F72C8D"/>
    <w:rsid w:val="726C367A"/>
    <w:rsid w:val="72DA44FF"/>
    <w:rsid w:val="72DD1E82"/>
    <w:rsid w:val="72EB15F3"/>
    <w:rsid w:val="72EB459F"/>
    <w:rsid w:val="737C169B"/>
    <w:rsid w:val="73974727"/>
    <w:rsid w:val="73E01848"/>
    <w:rsid w:val="741B7106"/>
    <w:rsid w:val="742762A4"/>
    <w:rsid w:val="743C0E70"/>
    <w:rsid w:val="74E22F5B"/>
    <w:rsid w:val="74E60521"/>
    <w:rsid w:val="75821800"/>
    <w:rsid w:val="75D25EEA"/>
    <w:rsid w:val="76AE5798"/>
    <w:rsid w:val="76C03F95"/>
    <w:rsid w:val="77037899"/>
    <w:rsid w:val="771816DB"/>
    <w:rsid w:val="777D3C34"/>
    <w:rsid w:val="77AB445A"/>
    <w:rsid w:val="78461445"/>
    <w:rsid w:val="7901354B"/>
    <w:rsid w:val="79202AC9"/>
    <w:rsid w:val="792A1B99"/>
    <w:rsid w:val="7A202934"/>
    <w:rsid w:val="7A2F16EC"/>
    <w:rsid w:val="7ABB6F4D"/>
    <w:rsid w:val="7ADF2BC5"/>
    <w:rsid w:val="7B274921"/>
    <w:rsid w:val="7B51165F"/>
    <w:rsid w:val="7BB52A0C"/>
    <w:rsid w:val="7C6E6199"/>
    <w:rsid w:val="7CFD384D"/>
    <w:rsid w:val="7D6B2EAC"/>
    <w:rsid w:val="7EB255CB"/>
    <w:rsid w:val="7EE97F06"/>
    <w:rsid w:val="7F0F5AB9"/>
    <w:rsid w:val="7F1255AA"/>
    <w:rsid w:val="7F947D6D"/>
    <w:rsid w:val="7F9A1827"/>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8"/>
    <w:qFormat/>
    <w:uiPriority w:val="0"/>
    <w:pPr>
      <w:keepNext/>
      <w:keepLines/>
      <w:spacing w:before="340" w:after="330" w:line="576" w:lineRule="auto"/>
      <w:outlineLvl w:val="0"/>
    </w:pPr>
    <w:rPr>
      <w:rFonts w:ascii="Times New Roman" w:hAnsi="Times New Roman"/>
      <w:b/>
      <w:kern w:val="44"/>
      <w:sz w:val="44"/>
      <w:szCs w:val="20"/>
    </w:rPr>
  </w:style>
  <w:style w:type="paragraph" w:styleId="5">
    <w:name w:val="heading 3"/>
    <w:basedOn w:val="1"/>
    <w:next w:val="1"/>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6">
    <w:name w:val="heading 4"/>
    <w:basedOn w:val="1"/>
    <w:next w:val="1"/>
    <w:qFormat/>
    <w:uiPriority w:val="0"/>
    <w:pPr>
      <w:keepNext/>
      <w:jc w:val="center"/>
      <w:outlineLvl w:val="3"/>
    </w:pPr>
    <w:rPr>
      <w:rFonts w:eastAsia="新宋体"/>
      <w:kern w:val="0"/>
      <w:sz w:val="30"/>
      <w:szCs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utoSpaceDE w:val="0"/>
      <w:autoSpaceDN w:val="0"/>
      <w:spacing w:before="6" w:after="6"/>
    </w:pPr>
    <w:rPr>
      <w:rFonts w:ascii="宋体" w:hAnsi="宋体" w:cs="宋体"/>
      <w:kern w:val="0"/>
      <w:sz w:val="20"/>
      <w:szCs w:val="20"/>
    </w:rPr>
  </w:style>
  <w:style w:type="paragraph" w:styleId="3">
    <w:name w:val="Body Text"/>
    <w:basedOn w:val="1"/>
    <w:next w:val="1"/>
    <w:qFormat/>
    <w:uiPriority w:val="0"/>
    <w:pPr>
      <w:spacing w:after="120"/>
    </w:pPr>
    <w:rPr>
      <w:rFonts w:ascii="Times New Roman" w:hAnsi="Times New Roman"/>
      <w:szCs w:val="20"/>
    </w:rPr>
  </w:style>
  <w:style w:type="paragraph" w:styleId="7">
    <w:name w:val="Document Map"/>
    <w:basedOn w:val="1"/>
    <w:link w:val="39"/>
    <w:semiHidden/>
    <w:unhideWhenUsed/>
    <w:qFormat/>
    <w:uiPriority w:val="0"/>
    <w:rPr>
      <w:rFonts w:ascii="Microsoft YaHei UI" w:eastAsia="Microsoft YaHei UI"/>
      <w:sz w:val="18"/>
      <w:szCs w:val="18"/>
    </w:rPr>
  </w:style>
  <w:style w:type="paragraph" w:styleId="8">
    <w:name w:val="Body Text Indent"/>
    <w:basedOn w:val="1"/>
    <w:qFormat/>
    <w:uiPriority w:val="0"/>
    <w:pPr>
      <w:ind w:left="420" w:leftChars="200"/>
    </w:pPr>
  </w:style>
  <w:style w:type="paragraph" w:styleId="9">
    <w:name w:val="index 4"/>
    <w:basedOn w:val="1"/>
    <w:next w:val="1"/>
    <w:unhideWhenUsed/>
    <w:qFormat/>
    <w:uiPriority w:val="99"/>
    <w:pPr>
      <w:ind w:left="600" w:leftChars="600"/>
    </w:pPr>
  </w:style>
  <w:style w:type="paragraph" w:styleId="10">
    <w:name w:val="Plain Text"/>
    <w:basedOn w:val="1"/>
    <w:next w:val="1"/>
    <w:qFormat/>
    <w:uiPriority w:val="0"/>
    <w:rPr>
      <w:rFonts w:hint="eastAsia" w:ascii="宋体" w:hAnsi="Courier New"/>
      <w:szCs w:val="20"/>
    </w:rPr>
  </w:style>
  <w:style w:type="paragraph" w:styleId="11">
    <w:name w:val="footer"/>
    <w:basedOn w:val="1"/>
    <w:link w:val="36"/>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next w:val="14"/>
    <w:qFormat/>
    <w:uiPriority w:val="0"/>
    <w:pPr>
      <w:widowControl/>
      <w:spacing w:before="100" w:beforeAutospacing="1" w:after="100" w:afterAutospacing="1"/>
      <w:jc w:val="left"/>
    </w:pPr>
    <w:rPr>
      <w:rFonts w:hint="eastAsia" w:ascii="Arial Unicode MS" w:hAnsi="Arial Unicode MS"/>
      <w:kern w:val="0"/>
      <w:sz w:val="24"/>
      <w:szCs w:val="20"/>
    </w:rPr>
  </w:style>
  <w:style w:type="paragraph" w:customStyle="1" w:styleId="14">
    <w:name w:val="*正文"/>
    <w:basedOn w:val="1"/>
    <w:autoRedefine/>
    <w:qFormat/>
    <w:uiPriority w:val="0"/>
    <w:rPr>
      <w:rFonts w:ascii="宋体" w:hAnsi="宋体"/>
      <w:kern w:val="0"/>
      <w:szCs w:val="24"/>
    </w:rPr>
  </w:style>
  <w:style w:type="paragraph" w:styleId="15">
    <w:name w:val="Body Text First Indent 2"/>
    <w:basedOn w:val="8"/>
    <w:next w:val="1"/>
    <w:qFormat/>
    <w:uiPriority w:val="0"/>
    <w:pPr>
      <w:spacing w:after="120"/>
      <w:ind w:firstLine="420" w:firstLineChars="200"/>
    </w:pPr>
    <w:rPr>
      <w:rFonts w:ascii="Times New Roman" w:hAnsi="Times New Roman"/>
      <w:szCs w:val="20"/>
    </w:rPr>
  </w:style>
  <w:style w:type="character" w:styleId="18">
    <w:name w:val="FollowedHyperlink"/>
    <w:qFormat/>
    <w:uiPriority w:val="0"/>
    <w:rPr>
      <w:color w:val="800080"/>
      <w:u w:val="none"/>
    </w:rPr>
  </w:style>
  <w:style w:type="character" w:styleId="19">
    <w:name w:val="HTML Definition"/>
    <w:basedOn w:val="17"/>
    <w:qFormat/>
    <w:uiPriority w:val="0"/>
  </w:style>
  <w:style w:type="character" w:styleId="20">
    <w:name w:val="HTML Typewriter"/>
    <w:basedOn w:val="17"/>
    <w:qFormat/>
    <w:uiPriority w:val="0"/>
    <w:rPr>
      <w:rFonts w:hint="default" w:ascii="monospace" w:hAnsi="monospace" w:eastAsia="monospace" w:cs="monospace"/>
      <w:sz w:val="20"/>
    </w:rPr>
  </w:style>
  <w:style w:type="character" w:styleId="21">
    <w:name w:val="HTML Acronym"/>
    <w:basedOn w:val="17"/>
    <w:qFormat/>
    <w:uiPriority w:val="0"/>
  </w:style>
  <w:style w:type="character" w:styleId="22">
    <w:name w:val="HTML Variable"/>
    <w:basedOn w:val="17"/>
    <w:qFormat/>
    <w:uiPriority w:val="0"/>
  </w:style>
  <w:style w:type="character" w:styleId="23">
    <w:name w:val="Hyperlink"/>
    <w:basedOn w:val="17"/>
    <w:qFormat/>
    <w:uiPriority w:val="0"/>
    <w:rPr>
      <w:color w:val="0000FF"/>
      <w:u w:val="none"/>
    </w:rPr>
  </w:style>
  <w:style w:type="character" w:styleId="24">
    <w:name w:val="HTML Code"/>
    <w:basedOn w:val="17"/>
    <w:qFormat/>
    <w:uiPriority w:val="0"/>
    <w:rPr>
      <w:rFonts w:ascii="monospace" w:hAnsi="monospace" w:eastAsia="monospace" w:cs="monospace"/>
      <w:sz w:val="20"/>
    </w:rPr>
  </w:style>
  <w:style w:type="character" w:styleId="25">
    <w:name w:val="HTML Cite"/>
    <w:basedOn w:val="17"/>
    <w:qFormat/>
    <w:uiPriority w:val="0"/>
  </w:style>
  <w:style w:type="character" w:styleId="26">
    <w:name w:val="HTML Keyboard"/>
    <w:basedOn w:val="17"/>
    <w:qFormat/>
    <w:uiPriority w:val="0"/>
    <w:rPr>
      <w:rFonts w:hint="default" w:ascii="monospace" w:hAnsi="monospace" w:eastAsia="monospace" w:cs="monospace"/>
      <w:sz w:val="20"/>
    </w:rPr>
  </w:style>
  <w:style w:type="character" w:styleId="27">
    <w:name w:val="HTML Sample"/>
    <w:basedOn w:val="17"/>
    <w:qFormat/>
    <w:uiPriority w:val="0"/>
    <w:rPr>
      <w:rFonts w:hint="default" w:ascii="monospace" w:hAnsi="monospace" w:eastAsia="monospace" w:cs="monospace"/>
    </w:rPr>
  </w:style>
  <w:style w:type="paragraph" w:customStyle="1" w:styleId="28">
    <w:name w:val="二级目录"/>
    <w:basedOn w:val="1"/>
    <w:next w:val="1"/>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29">
    <w:name w:val="首行缩进"/>
    <w:basedOn w:val="1"/>
    <w:qFormat/>
    <w:uiPriority w:val="0"/>
    <w:pPr>
      <w:spacing w:line="360" w:lineRule="auto"/>
      <w:ind w:firstLine="480" w:firstLineChars="200"/>
    </w:pPr>
    <w:rPr>
      <w:rFonts w:ascii="Times New Roman" w:hAnsi="Times New Roman"/>
      <w:szCs w:val="20"/>
    </w:rPr>
  </w:style>
  <w:style w:type="character" w:customStyle="1" w:styleId="30">
    <w:name w:val="first-child"/>
    <w:basedOn w:val="17"/>
    <w:qFormat/>
    <w:uiPriority w:val="0"/>
  </w:style>
  <w:style w:type="character" w:customStyle="1" w:styleId="31">
    <w:name w:val="hover2"/>
    <w:basedOn w:val="17"/>
    <w:qFormat/>
    <w:uiPriority w:val="0"/>
    <w:rPr>
      <w:color w:val="5FB878"/>
    </w:rPr>
  </w:style>
  <w:style w:type="character" w:customStyle="1" w:styleId="32">
    <w:name w:val="hover3"/>
    <w:basedOn w:val="17"/>
    <w:qFormat/>
    <w:uiPriority w:val="0"/>
    <w:rPr>
      <w:color w:val="5FB878"/>
    </w:rPr>
  </w:style>
  <w:style w:type="character" w:customStyle="1" w:styleId="33">
    <w:name w:val="hover4"/>
    <w:basedOn w:val="17"/>
    <w:qFormat/>
    <w:uiPriority w:val="0"/>
    <w:rPr>
      <w:color w:val="FFFFFF"/>
    </w:rPr>
  </w:style>
  <w:style w:type="character" w:customStyle="1" w:styleId="34">
    <w:name w:val="layui-this"/>
    <w:basedOn w:val="17"/>
    <w:qFormat/>
    <w:uiPriority w:val="0"/>
    <w:rPr>
      <w:bdr w:val="single" w:color="EEEEEE" w:sz="6" w:space="0"/>
      <w:shd w:val="clear" w:color="auto" w:fill="FFFFFF"/>
    </w:rPr>
  </w:style>
  <w:style w:type="paragraph" w:customStyle="1" w:styleId="35">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6">
    <w:name w:val="页脚 字符"/>
    <w:basedOn w:val="17"/>
    <w:link w:val="11"/>
    <w:qFormat/>
    <w:uiPriority w:val="99"/>
    <w:rPr>
      <w:rFonts w:ascii="Calibri" w:hAnsi="Calibri"/>
      <w:kern w:val="2"/>
      <w:sz w:val="18"/>
      <w:szCs w:val="24"/>
    </w:rPr>
  </w:style>
  <w:style w:type="paragraph" w:styleId="37">
    <w:name w:val="List Paragraph"/>
    <w:basedOn w:val="1"/>
    <w:qFormat/>
    <w:uiPriority w:val="99"/>
    <w:pPr>
      <w:ind w:firstLine="420" w:firstLineChars="200"/>
    </w:pPr>
  </w:style>
  <w:style w:type="character" w:customStyle="1" w:styleId="38">
    <w:name w:val="标题 1 字符"/>
    <w:link w:val="4"/>
    <w:qFormat/>
    <w:uiPriority w:val="0"/>
    <w:rPr>
      <w:b/>
      <w:kern w:val="44"/>
      <w:sz w:val="44"/>
    </w:rPr>
  </w:style>
  <w:style w:type="character" w:customStyle="1" w:styleId="39">
    <w:name w:val="文档结构图 字符"/>
    <w:basedOn w:val="17"/>
    <w:link w:val="7"/>
    <w:semiHidden/>
    <w:qFormat/>
    <w:uiPriority w:val="0"/>
    <w:rPr>
      <w:rFonts w:ascii="Microsoft YaHei UI" w:hAnsi="Calibri" w:eastAsia="Microsoft YaHei UI"/>
      <w:kern w:val="2"/>
      <w:sz w:val="18"/>
      <w:szCs w:val="18"/>
    </w:rPr>
  </w:style>
  <w:style w:type="paragraph" w:customStyle="1" w:styleId="40">
    <w:name w:val="Body text|1"/>
    <w:basedOn w:val="1"/>
    <w:qFormat/>
    <w:uiPriority w:val="0"/>
    <w:pPr>
      <w:widowControl w:val="0"/>
      <w:shd w:val="clear" w:color="auto" w:fill="auto"/>
      <w:spacing w:line="432" w:lineRule="auto"/>
      <w:ind w:firstLine="280"/>
    </w:pPr>
    <w:rPr>
      <w:rFonts w:ascii="宋体" w:hAnsi="宋体" w:eastAsia="宋体" w:cs="宋体"/>
      <w:sz w:val="17"/>
      <w:szCs w:val="17"/>
      <w:u w:val="none"/>
      <w:shd w:val="clear" w:color="auto" w:fill="auto"/>
      <w:lang w:val="zh-CN" w:eastAsia="zh-CN" w:bidi="zh-CN"/>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宋体" w:hAnsi="宋体" w:eastAsia="宋体" w:cs="宋体"/>
      <w:sz w:val="28"/>
      <w:szCs w:val="28"/>
      <w:lang w:val="en-US" w:eastAsia="en-US" w:bidi="ar-SA"/>
    </w:rPr>
  </w:style>
  <w:style w:type="character" w:customStyle="1" w:styleId="43">
    <w:name w:val="font51"/>
    <w:basedOn w:val="17"/>
    <w:qFormat/>
    <w:uiPriority w:val="0"/>
    <w:rPr>
      <w:rFonts w:ascii="Arial" w:hAnsi="Arial" w:cs="Arial"/>
      <w:color w:val="000000"/>
      <w:sz w:val="20"/>
      <w:szCs w:val="20"/>
      <w:u w:val="none"/>
    </w:rPr>
  </w:style>
  <w:style w:type="character" w:customStyle="1" w:styleId="44">
    <w:name w:val="font41"/>
    <w:basedOn w:val="17"/>
    <w:qFormat/>
    <w:uiPriority w:val="0"/>
    <w:rPr>
      <w:rFonts w:hint="eastAsia" w:ascii="宋体" w:hAnsi="宋体" w:eastAsia="宋体" w:cs="宋体"/>
      <w:color w:val="000000"/>
      <w:sz w:val="20"/>
      <w:szCs w:val="20"/>
      <w:u w:val="none"/>
    </w:rPr>
  </w:style>
  <w:style w:type="paragraph" w:customStyle="1" w:styleId="45">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4" textRotate="1"/>
    <customShpInfo spid="_x0000_s4100" textRotate="1"/>
    <customShpInfo spid="_x0000_s4101" textRotate="1"/>
    <customShpInfo spid="_x0000_s4102" textRotate="1"/>
    <customShpInfo spid="_x0000_s4103"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15025</Words>
  <Characters>15913</Characters>
  <Lines>133</Lines>
  <Paragraphs>37</Paragraphs>
  <TotalTime>3</TotalTime>
  <ScaleCrop>false</ScaleCrop>
  <LinksUpToDate>false</LinksUpToDate>
  <CharactersWithSpaces>16325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微笑 </cp:lastModifiedBy>
  <cp:lastPrinted>2021-11-19T02:14:00Z</cp:lastPrinted>
  <dcterms:modified xsi:type="dcterms:W3CDTF">2025-09-12T06:36:36Z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B04AB27B0E3646F1AA67DF491C0A1590</vt:lpwstr>
  </property>
  <property fmtid="{D5CDD505-2E9C-101B-9397-08002B2CF9AE}" pid="4" name="KSOTemplateDocerSaveRecord">
    <vt:lpwstr>eyJoZGlkIjoiYjM0NGZmMDFiZWI3ODJjN2QyZGJmMzFkMGRhYmY3NmQiLCJ1c2VySWQiOiI5OTcwNTc4OTAifQ==</vt:lpwstr>
  </property>
</Properties>
</file>