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4B382">
      <w:pPr>
        <w:jc w:val="center"/>
        <w:rPr>
          <w:rFonts w:hint="eastAsia" w:asciiTheme="minorEastAsia" w:hAnsiTheme="minorEastAsia"/>
          <w:b/>
          <w:spacing w:val="-6"/>
          <w:sz w:val="32"/>
          <w:szCs w:val="32"/>
          <w:lang w:val="en-US" w:eastAsia="zh-CN"/>
        </w:rPr>
      </w:pPr>
      <w:bookmarkStart w:id="0" w:name="_GoBack"/>
      <w:r>
        <w:rPr>
          <w:rFonts w:hint="eastAsia" w:asciiTheme="minorEastAsia" w:hAnsiTheme="minorEastAsia"/>
          <w:b/>
          <w:spacing w:val="-6"/>
          <w:sz w:val="32"/>
          <w:szCs w:val="32"/>
          <w:lang w:val="en-US" w:eastAsia="zh-CN"/>
        </w:rPr>
        <w:t>启东市吕四自来水厂有限公司</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b/>
          <w:spacing w:val="-6"/>
          <w:sz w:val="32"/>
          <w:szCs w:val="32"/>
          <w:lang w:val="en-US" w:eastAsia="zh-CN"/>
        </w:rPr>
        <w:t>Y型过滤器2025-2026年度采购项目（第二次）</w:t>
      </w:r>
      <w:r>
        <w:rPr>
          <w:rFonts w:hint="eastAsia" w:asciiTheme="minorEastAsia" w:hAnsiTheme="minorEastAsia"/>
          <w:b/>
          <w:spacing w:val="0"/>
          <w:sz w:val="32"/>
          <w:szCs w:val="32"/>
          <w:lang w:val="en-US" w:eastAsia="zh-CN"/>
        </w:rPr>
        <w:t>招标</w:t>
      </w:r>
      <w:r>
        <w:rPr>
          <w:rFonts w:hint="eastAsia" w:asciiTheme="minorEastAsia" w:hAnsiTheme="minorEastAsia" w:eastAsiaTheme="minorEastAsia"/>
          <w:b/>
          <w:spacing w:val="0"/>
          <w:sz w:val="32"/>
          <w:szCs w:val="32"/>
          <w:lang w:val="en-US" w:eastAsia="zh-CN"/>
        </w:rPr>
        <w:t>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启东市吕四自来水厂有限公司</w:t>
      </w:r>
      <w:r>
        <w:rPr>
          <w:rFonts w:hint="eastAsia" w:asciiTheme="minorEastAsia" w:hAnsiTheme="minorEastAsia" w:cstheme="minorEastAsia"/>
          <w:sz w:val="24"/>
          <w:szCs w:val="24"/>
          <w:lang w:val="en-US" w:eastAsia="zh-CN"/>
        </w:rPr>
        <w:t>Y型过滤器</w:t>
      </w:r>
      <w:r>
        <w:rPr>
          <w:rFonts w:hint="eastAsia" w:asciiTheme="minorEastAsia" w:hAnsiTheme="minorEastAsia" w:eastAsiaTheme="minorEastAsia" w:cstheme="minorEastAsia"/>
          <w:sz w:val="24"/>
          <w:szCs w:val="24"/>
          <w:lang w:val="en-US" w:eastAsia="zh-CN"/>
        </w:rPr>
        <w:t>2025-2026年度采购项目即将实施，现就该项目进行招标采购。</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一、采购需求：详见附件《启东市吕四自来水厂有限公司</w:t>
      </w:r>
      <w:r>
        <w:rPr>
          <w:rFonts w:hint="eastAsia" w:asciiTheme="minorEastAsia" w:hAnsiTheme="minorEastAsia" w:cstheme="minorEastAsia"/>
          <w:sz w:val="24"/>
          <w:szCs w:val="24"/>
          <w:lang w:val="en-US" w:eastAsia="zh-CN"/>
        </w:rPr>
        <w:t>Y型过滤器</w:t>
      </w:r>
      <w:r>
        <w:rPr>
          <w:rFonts w:hint="eastAsia" w:asciiTheme="minorEastAsia" w:hAnsiTheme="minorEastAsia" w:eastAsiaTheme="minorEastAsia" w:cstheme="minorEastAsia"/>
          <w:sz w:val="24"/>
          <w:szCs w:val="24"/>
          <w:lang w:val="en-US" w:eastAsia="zh-CN"/>
        </w:rPr>
        <w:t>2025-2026年度采购项目报价清单》。</w:t>
      </w:r>
    </w:p>
    <w:p w14:paraId="61316EB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二、</w:t>
      </w:r>
      <w:r>
        <w:rPr>
          <w:rFonts w:hint="eastAsia" w:asciiTheme="minorEastAsia" w:hAnsiTheme="minorEastAsia" w:eastAsiaTheme="minorEastAsia" w:cstheme="minorEastAsia"/>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.供货周期</w:t>
      </w: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z w:val="24"/>
          <w:szCs w:val="24"/>
          <w:highlight w:val="none"/>
          <w:lang w:val="en-US" w:eastAsia="zh-CN"/>
        </w:rPr>
        <w:t>1年（自合同签订之日起）。</w:t>
      </w:r>
    </w:p>
    <w:p w14:paraId="2F7C18C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履约保证金交纳要求：成交金额的10%。成交供应商的履约保证金须在成交通知书发出之日起至合同签订前汇入采购单位账户（应当银行转账、网银形式提交），成交供应商凭成交通知书与采购单位签订合同。超期或未有协商，则视为自动放弃成交资格。</w:t>
      </w:r>
    </w:p>
    <w:p w14:paraId="5CD84D5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1、成交供应商全部履约合同义务，经采购单位验收合格无质量、进度等问题的，采购人在履约期结束且验收合格后一次性退还履约保证金。</w:t>
      </w:r>
    </w:p>
    <w:p w14:paraId="2FE7F39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shd w:val="clear" w:fill="FFFFFF"/>
        </w:rPr>
      </w:pPr>
      <w:r>
        <w:rPr>
          <w:rFonts w:hint="eastAsia" w:asciiTheme="minorEastAsia" w:hAnsiTheme="minorEastAsia" w:eastAsiaTheme="minorEastAsia" w:cstheme="minorEastAsia"/>
          <w:i w:val="0"/>
          <w:iCs w:val="0"/>
          <w:caps w:val="0"/>
          <w:color w:val="666666"/>
          <w:spacing w:val="0"/>
          <w:sz w:val="24"/>
          <w:szCs w:val="24"/>
          <w:shd w:val="clear" w:fill="FFFFFF"/>
        </w:rPr>
        <w:t>2、发生以下情况的，履约保证金不予退还或部分退还：    </w:t>
      </w:r>
    </w:p>
    <w:p w14:paraId="168DE64F">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（1）签订合同后，成交供应商不履行合同义务的，采购单位有权全额扣除履约保证金，全额不予退还，同时采购单位亦有权终止合同，成交供应商还须承担相应的法律赔偿责任。</w:t>
      </w:r>
    </w:p>
    <w:p w14:paraId="269830F4">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32EC3A9F">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（3）如由于成交供应商原因，中途停止供货的，履约保证金不予退还。</w:t>
      </w:r>
    </w:p>
    <w:p w14:paraId="51FE87FD">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3.质保要求：1年以上。</w:t>
      </w:r>
    </w:p>
    <w:p w14:paraId="2BF3629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666666"/>
          <w:spacing w:val="0"/>
          <w:sz w:val="24"/>
          <w:szCs w:val="24"/>
          <w:shd w:val="clear" w:fill="FFFFFF"/>
        </w:rPr>
        <w:t>4.开标时间、地点：请于</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rPr>
        <w:t>2025年</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6</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rPr>
        <w:t>月</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16</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rPr>
        <w:t>日</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上</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rPr>
        <w:t>午</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9</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rPr>
        <w:t>:</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0</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rPr>
        <w:t>0时</w:t>
      </w:r>
      <w:r>
        <w:rPr>
          <w:rFonts w:hint="eastAsia" w:asciiTheme="minorEastAsia" w:hAnsiTheme="minorEastAsia" w:eastAsiaTheme="minorEastAsia" w:cstheme="minorEastAsia"/>
          <w:i w:val="0"/>
          <w:iCs w:val="0"/>
          <w:caps w:val="0"/>
          <w:color w:val="666666"/>
          <w:spacing w:val="0"/>
          <w:sz w:val="24"/>
          <w:szCs w:val="24"/>
          <w:shd w:val="clear" w:fill="FFFFFF"/>
        </w:rPr>
        <w:t>携报价资料在</w:t>
      </w:r>
      <w:r>
        <w:rPr>
          <w:rFonts w:hint="eastAsia" w:asciiTheme="minorEastAsia" w:hAnsiTheme="minorEastAsia" w:eastAsiaTheme="minorEastAsia" w:cstheme="minorEastAsia"/>
          <w:b/>
          <w:bCs/>
          <w:i w:val="0"/>
          <w:iCs w:val="0"/>
          <w:caps w:val="0"/>
          <w:color w:val="666666"/>
          <w:spacing w:val="0"/>
          <w:sz w:val="24"/>
          <w:szCs w:val="24"/>
          <w:u w:val="single"/>
          <w:shd w:val="clear" w:fill="FFFFFF"/>
        </w:rPr>
        <w:t>启东市汇龙镇金沙江路672号</w:t>
      </w:r>
      <w:r>
        <w:rPr>
          <w:rStyle w:val="20"/>
          <w:rFonts w:hint="eastAsia" w:asciiTheme="minorEastAsia" w:hAnsiTheme="minorEastAsia" w:eastAsiaTheme="minorEastAsia" w:cstheme="minorEastAsia"/>
          <w:i w:val="0"/>
          <w:iCs w:val="0"/>
          <w:caps w:val="0"/>
          <w:color w:val="666666"/>
          <w:spacing w:val="0"/>
          <w:sz w:val="24"/>
          <w:szCs w:val="24"/>
          <w:u w:val="single"/>
          <w:shd w:val="clear" w:fill="FFFFFF"/>
        </w:rPr>
        <w:t>启东市城投集团二楼开标室</w:t>
      </w:r>
      <w:r>
        <w:rPr>
          <w:rFonts w:hint="eastAsia" w:asciiTheme="minorEastAsia" w:hAnsiTheme="minorEastAsia" w:eastAsiaTheme="minorEastAsia" w:cstheme="minorEastAsia"/>
          <w:i w:val="0"/>
          <w:iCs w:val="0"/>
          <w:caps w:val="0"/>
          <w:color w:val="666666"/>
          <w:spacing w:val="0"/>
          <w:sz w:val="24"/>
          <w:szCs w:val="24"/>
          <w:shd w:val="clear" w:fill="FFFFFF"/>
        </w:rPr>
        <w:t>参与投标报价。</w:t>
      </w:r>
    </w:p>
    <w:p w14:paraId="13EE31C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5.投标资料要求：</w:t>
      </w:r>
    </w:p>
    <w:p w14:paraId="63EB652B">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授权委托人须携带</w:t>
      </w:r>
      <w:r>
        <w:rPr>
          <w:rFonts w:hint="eastAsia" w:asciiTheme="minorEastAsia" w:hAnsiTheme="minorEastAsia" w:eastAsiaTheme="minorEastAsia" w:cstheme="minorEastAsia"/>
          <w:i w:val="0"/>
          <w:iCs w:val="0"/>
          <w:caps w:val="0"/>
          <w:color w:val="666666"/>
          <w:spacing w:val="0"/>
          <w:sz w:val="24"/>
          <w:szCs w:val="24"/>
          <w:u w:val="single"/>
          <w:shd w:val="clear" w:fill="FFFFFF"/>
        </w:rPr>
        <w:t>企业营业执照复印件</w:t>
      </w:r>
      <w:r>
        <w:rPr>
          <w:rFonts w:hint="eastAsia" w:asciiTheme="minorEastAsia" w:hAnsiTheme="minorEastAsia" w:eastAsiaTheme="minorEastAsia" w:cstheme="minorEastAsia"/>
          <w:i w:val="0"/>
          <w:iCs w:val="0"/>
          <w:caps w:val="0"/>
          <w:color w:val="666666"/>
          <w:spacing w:val="0"/>
          <w:sz w:val="24"/>
          <w:szCs w:val="24"/>
          <w:shd w:val="clear" w:fill="FFFFFF"/>
        </w:rPr>
        <w:t>、</w:t>
      </w:r>
      <w:r>
        <w:rPr>
          <w:rFonts w:hint="eastAsia" w:asciiTheme="minorEastAsia" w:hAnsiTheme="minorEastAsia" w:eastAsiaTheme="minorEastAsia" w:cstheme="minorEastAsia"/>
          <w:i w:val="0"/>
          <w:iCs w:val="0"/>
          <w:caps w:val="0"/>
          <w:color w:val="666666"/>
          <w:spacing w:val="0"/>
          <w:sz w:val="24"/>
          <w:szCs w:val="24"/>
          <w:u w:val="single"/>
          <w:shd w:val="clear" w:fill="FFFFFF"/>
        </w:rPr>
        <w:t>资质证书复印件</w:t>
      </w:r>
      <w:r>
        <w:rPr>
          <w:rFonts w:hint="eastAsia" w:asciiTheme="minorEastAsia" w:hAnsiTheme="minorEastAsia" w:eastAsiaTheme="minorEastAsia" w:cstheme="minorEastAsia"/>
          <w:i w:val="0"/>
          <w:iCs w:val="0"/>
          <w:caps w:val="0"/>
          <w:color w:val="666666"/>
          <w:spacing w:val="0"/>
          <w:sz w:val="24"/>
          <w:szCs w:val="24"/>
          <w:shd w:val="clear" w:fill="FFFFFF"/>
        </w:rPr>
        <w:t>、</w:t>
      </w:r>
      <w:r>
        <w:rPr>
          <w:rFonts w:hint="eastAsia" w:asciiTheme="minorEastAsia" w:hAnsiTheme="minorEastAsia" w:eastAsiaTheme="minorEastAsia" w:cstheme="minorEastAsia"/>
          <w:i w:val="0"/>
          <w:iCs w:val="0"/>
          <w:caps w:val="0"/>
          <w:color w:val="666666"/>
          <w:spacing w:val="0"/>
          <w:sz w:val="24"/>
          <w:szCs w:val="24"/>
          <w:u w:val="single"/>
          <w:shd w:val="clear" w:fill="FFFFFF"/>
        </w:rPr>
        <w:t>授权委托书原件</w:t>
      </w:r>
      <w:r>
        <w:rPr>
          <w:rFonts w:hint="eastAsia" w:asciiTheme="minorEastAsia" w:hAnsiTheme="minorEastAsia" w:eastAsiaTheme="minorEastAsia" w:cstheme="minorEastAsia"/>
          <w:i w:val="0"/>
          <w:iCs w:val="0"/>
          <w:caps w:val="0"/>
          <w:color w:val="666666"/>
          <w:spacing w:val="0"/>
          <w:sz w:val="24"/>
          <w:szCs w:val="24"/>
          <w:shd w:val="clear" w:fill="FFFFFF"/>
        </w:rPr>
        <w:t>、</w:t>
      </w:r>
      <w:r>
        <w:rPr>
          <w:rFonts w:hint="eastAsia" w:asciiTheme="minorEastAsia" w:hAnsiTheme="minorEastAsia" w:eastAsiaTheme="minorEastAsia" w:cstheme="minorEastAsia"/>
          <w:i w:val="0"/>
          <w:iCs w:val="0"/>
          <w:caps w:val="0"/>
          <w:color w:val="666666"/>
          <w:spacing w:val="0"/>
          <w:sz w:val="24"/>
          <w:szCs w:val="24"/>
          <w:u w:val="single"/>
          <w:shd w:val="clear" w:fill="FFFFFF"/>
        </w:rPr>
        <w:t>本人身份证正反面复印件</w:t>
      </w:r>
      <w:r>
        <w:rPr>
          <w:rFonts w:hint="eastAsia" w:asciiTheme="minorEastAsia" w:hAnsiTheme="minorEastAsia" w:eastAsiaTheme="minorEastAsia" w:cstheme="minorEastAsia"/>
          <w:i w:val="0"/>
          <w:iCs w:val="0"/>
          <w:caps w:val="0"/>
          <w:color w:val="666666"/>
          <w:spacing w:val="0"/>
          <w:sz w:val="24"/>
          <w:szCs w:val="24"/>
          <w:shd w:val="clear" w:fill="FFFFFF"/>
        </w:rPr>
        <w:t>、</w:t>
      </w:r>
      <w:r>
        <w:rPr>
          <w:rFonts w:hint="eastAsia" w:asciiTheme="minorEastAsia" w:hAnsiTheme="minorEastAsia" w:eastAsiaTheme="minorEastAsia" w:cstheme="minorEastAsia"/>
          <w:i w:val="0"/>
          <w:iCs w:val="0"/>
          <w:caps w:val="0"/>
          <w:color w:val="666666"/>
          <w:spacing w:val="0"/>
          <w:sz w:val="24"/>
          <w:szCs w:val="24"/>
          <w:u w:val="single"/>
          <w:shd w:val="clear" w:fill="FFFFFF"/>
        </w:rPr>
        <w:t>投标函原件、报价清单（必须按提供的样表格式填写报价，所有涉及报价的页面均必须加盖单位公章，资格审查和报价表须分开密封，否则视为无效报价文件），及自2022年以来的供水企业业绩证明（相对应的合同、发票扫描件）以上材料均需加盖投标人公章，投标文件装订成册密封并于封口处加盖投标人公章（不允许使用活页夹、拉杆夹、文件夹、塑料方便式书脊（插入式或穿孔式）装订），密封袋及投标文件封面上标明：招标人名称、项目名称、投标人名称，否则将作废标处理。</w:t>
      </w:r>
    </w:p>
    <w:p w14:paraId="29F1A8C0">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注：提供复印件的材料应提供原件备查。</w:t>
      </w:r>
    </w:p>
    <w:p w14:paraId="2A8363C6">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6.报价要求：</w:t>
      </w:r>
    </w:p>
    <w:p w14:paraId="292FE41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本项目招标控制价（含税）为人民币</w:t>
      </w:r>
      <w:r>
        <w:rPr>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58100.00</w:t>
      </w:r>
      <w:r>
        <w:rPr>
          <w:rFonts w:hint="eastAsia" w:asciiTheme="minorEastAsia" w:hAnsiTheme="minorEastAsia" w:eastAsiaTheme="minorEastAsia" w:cstheme="minorEastAsia"/>
          <w:i w:val="0"/>
          <w:iCs w:val="0"/>
          <w:caps w:val="0"/>
          <w:color w:val="666666"/>
          <w:spacing w:val="0"/>
          <w:sz w:val="24"/>
          <w:szCs w:val="24"/>
          <w:u w:val="single"/>
          <w:shd w:val="clear" w:fill="FFFFFF"/>
        </w:rPr>
        <w:t>元</w:t>
      </w:r>
      <w:r>
        <w:rPr>
          <w:rFonts w:hint="eastAsia" w:asciiTheme="minorEastAsia" w:hAnsiTheme="minorEastAsia" w:eastAsiaTheme="minorEastAsia" w:cstheme="minorEastAsia"/>
          <w:i w:val="0"/>
          <w:iCs w:val="0"/>
          <w:caps w:val="0"/>
          <w:color w:val="666666"/>
          <w:spacing w:val="0"/>
          <w:sz w:val="24"/>
          <w:szCs w:val="24"/>
          <w:shd w:val="clear" w:fill="FFFFFF"/>
        </w:rPr>
        <w:t>（大写：</w:t>
      </w:r>
      <w:r>
        <w:rPr>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伍万捌仟壹佰元整</w:t>
      </w:r>
      <w:r>
        <w:rPr>
          <w:rFonts w:hint="eastAsia" w:asciiTheme="minorEastAsia" w:hAnsiTheme="minorEastAsia" w:eastAsiaTheme="minorEastAsia" w:cstheme="minorEastAsia"/>
          <w:i w:val="0"/>
          <w:iCs w:val="0"/>
          <w:caps w:val="0"/>
          <w:color w:val="666666"/>
          <w:spacing w:val="0"/>
          <w:sz w:val="24"/>
          <w:szCs w:val="24"/>
          <w:shd w:val="clear" w:fill="FFFFFF"/>
        </w:rPr>
        <w:t>），高于或等于招标控制价的为无效报价，最低价中标。投标报价保留两位小数，否则为无效报价，作废标处理。</w:t>
      </w:r>
    </w:p>
    <w:p w14:paraId="49E1A0AB">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7.报价费用说明：</w:t>
      </w:r>
    </w:p>
    <w:p w14:paraId="166AD67D">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（1）本项目采取固定单价报价，各报价人需考虑投标时每项的分项综合单价报价与分项最高限价相比的下浮率必须一致。</w:t>
      </w:r>
    </w:p>
    <w:p w14:paraId="20FAFB94">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1FE0EC24">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3）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0F0F8CE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各供应商在报价时请充分考虑各种因素。</w:t>
      </w:r>
    </w:p>
    <w:p w14:paraId="465D7A5C">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8.付款方式：</w:t>
      </w:r>
    </w:p>
    <w:p w14:paraId="19B75DEE">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（1）采购资金的支付方式：银行转账，由采购人按相关财务支付规定办理支付手续。</w:t>
      </w:r>
    </w:p>
    <w:p w14:paraId="7F189ADD">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（2）采购资金的支付时间、条件：</w:t>
      </w:r>
    </w:p>
    <w:p w14:paraId="740DEAA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本次采购量为预估量，最终结算按每次实际采购量计，每次供货完毕并经验收合格后，采购人通知并收到成交供应商相应的增值税专用发票后30天内支付该批订单的80%货款。尾款在质保期后收到成交供应商相应的增值税专用发票后一次性付清。</w:t>
      </w:r>
    </w:p>
    <w:p w14:paraId="53591B36">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9.验收要求：中标人签订合同后在招标人规定的时间内，必须将符合招标文件要求的所有合格货物送到指定地点，由采购人相关人员对所供货物进行外观和数量清点，由采购人相关人员委托第三方检测机构现场抽样送检（检测费用由供应商承担）。如抽检过程中中标人不能到场配合的，将视采购人为其委托单位配合抽检，并在相关文书签字确认。</w:t>
      </w:r>
    </w:p>
    <w:p w14:paraId="403A8C69">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10.售后服务要求：供应商报价时须承诺所供货物的免费质保期为壹年（含)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保证金中直接扣除。如保证金不够支持本次损失费用，采购方有权向供货方索赔，且视质量引起出现问题造成的严重负面影响的将列入黑名单，不得再参与启东市吕四自来水厂有限公司的采购项目。</w:t>
      </w:r>
    </w:p>
    <w:p w14:paraId="281E9E32">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11.其他：（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4）当成交供应商放弃成交、因不可抗力不能履行合同、不按照询价文件要求提交履约保证金，或者被查实存在影响成交结果的违法行为等情形，不符合成交条件的，采购人可依法重新招标。（5）合同期限:自合同签订之日起壹年或采购金额满合同价后合同终止。</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9"/>
          <w:rFonts w:hint="eastAsia" w:asciiTheme="minorEastAsia" w:hAnsiTheme="minorEastAsia" w:eastAsiaTheme="minorEastAsia" w:cstheme="minorEastAsia"/>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9"/>
          <w:rFonts w:hint="eastAsia" w:asciiTheme="minorEastAsia" w:hAnsiTheme="minorEastAsia" w:eastAsiaTheme="minorEastAsia" w:cstheme="minorEastAsia"/>
          <w:kern w:val="0"/>
          <w:sz w:val="24"/>
          <w:szCs w:val="24"/>
          <w:highlight w:val="none"/>
          <w:lang w:val="en-US" w:eastAsia="zh-CN" w:bidi="ar-SA"/>
        </w:rPr>
      </w:pPr>
      <w:r>
        <w:rPr>
          <w:rStyle w:val="29"/>
          <w:rFonts w:hint="eastAsia" w:asciiTheme="minorEastAsia" w:hAnsiTheme="minorEastAsia" w:eastAsiaTheme="minorEastAsia" w:cstheme="minorEastAsia"/>
          <w:kern w:val="0"/>
          <w:sz w:val="24"/>
          <w:szCs w:val="24"/>
          <w:highlight w:val="none"/>
          <w:lang w:val="en-US" w:eastAsia="zh-CN" w:bidi="ar-SA"/>
        </w:rPr>
        <w:t>2025年</w:t>
      </w:r>
      <w:r>
        <w:rPr>
          <w:rStyle w:val="29"/>
          <w:rFonts w:hint="eastAsia" w:asciiTheme="minorEastAsia" w:hAnsiTheme="minorEastAsia" w:cstheme="minorEastAsia"/>
          <w:kern w:val="0"/>
          <w:sz w:val="24"/>
          <w:szCs w:val="24"/>
          <w:highlight w:val="none"/>
          <w:lang w:val="en-US" w:eastAsia="zh-CN" w:bidi="ar-SA"/>
        </w:rPr>
        <w:t>6</w:t>
      </w:r>
      <w:r>
        <w:rPr>
          <w:rStyle w:val="29"/>
          <w:rFonts w:hint="eastAsia" w:asciiTheme="minorEastAsia" w:hAnsiTheme="minorEastAsia" w:eastAsiaTheme="minorEastAsia" w:cstheme="minorEastAsia"/>
          <w:kern w:val="0"/>
          <w:sz w:val="24"/>
          <w:szCs w:val="24"/>
          <w:highlight w:val="none"/>
          <w:lang w:val="en-US" w:eastAsia="zh-CN" w:bidi="ar-SA"/>
        </w:rPr>
        <w:t>月</w:t>
      </w:r>
      <w:r>
        <w:rPr>
          <w:rStyle w:val="29"/>
          <w:rFonts w:hint="eastAsia" w:asciiTheme="minorEastAsia" w:hAnsiTheme="minorEastAsia" w:cstheme="minorEastAsia"/>
          <w:kern w:val="0"/>
          <w:sz w:val="24"/>
          <w:szCs w:val="24"/>
          <w:highlight w:val="none"/>
          <w:lang w:val="en-US" w:eastAsia="zh-CN" w:bidi="ar-SA"/>
        </w:rPr>
        <w:t>10</w:t>
      </w:r>
      <w:r>
        <w:rPr>
          <w:rStyle w:val="29"/>
          <w:rFonts w:hint="eastAsia" w:asciiTheme="minorEastAsia" w:hAnsiTheme="minorEastAsia" w:eastAsiaTheme="minorEastAsia" w:cstheme="minorEastAsia"/>
          <w:kern w:val="0"/>
          <w:sz w:val="24"/>
          <w:szCs w:val="24"/>
          <w:highlight w:val="none"/>
          <w:lang w:val="en-US" w:eastAsia="zh-CN" w:bidi="ar-SA"/>
        </w:rPr>
        <w:t>日</w:t>
      </w:r>
    </w:p>
    <w:p w14:paraId="10B6DC4A">
      <w:pPr>
        <w:rPr>
          <w:rFonts w:hint="eastAsia" w:asciiTheme="minorEastAsia" w:hAnsiTheme="minorEastAsia" w:eastAsiaTheme="minorEastAsia" w:cstheme="minorEastAsia"/>
          <w:b/>
          <w:color w:val="auto"/>
          <w:kern w:val="0"/>
          <w:sz w:val="24"/>
          <w:szCs w:val="24"/>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62005667">
      <w:pPr>
        <w:rPr>
          <w:rFonts w:hint="default" w:ascii="宋体" w:hAnsi="宋体" w:eastAsia="宋体" w:cs="宋体"/>
          <w:b/>
          <w:color w:val="auto"/>
          <w:kern w:val="0"/>
          <w:sz w:val="28"/>
          <w:szCs w:val="28"/>
          <w:highlight w:val="none"/>
          <w:lang w:val="en-US" w:eastAsia="zh-CN"/>
        </w:rPr>
      </w:pPr>
    </w:p>
    <w:p w14:paraId="092F796F">
      <w:pPr>
        <w:pStyle w:val="2"/>
        <w:rPr>
          <w:rFonts w:hint="default" w:ascii="宋体" w:hAnsi="宋体" w:eastAsia="宋体" w:cs="宋体"/>
          <w:b/>
          <w:color w:val="auto"/>
          <w:kern w:val="0"/>
          <w:sz w:val="28"/>
          <w:szCs w:val="28"/>
          <w:highlight w:val="none"/>
          <w:lang w:val="en-US" w:eastAsia="zh-CN"/>
        </w:rPr>
      </w:pPr>
    </w:p>
    <w:p w14:paraId="0C3396C6">
      <w:pPr>
        <w:rPr>
          <w:rFonts w:hint="default" w:ascii="宋体" w:hAnsi="宋体" w:eastAsia="宋体" w:cs="宋体"/>
          <w:b/>
          <w:color w:val="auto"/>
          <w:kern w:val="0"/>
          <w:sz w:val="28"/>
          <w:szCs w:val="28"/>
          <w:highlight w:val="none"/>
          <w:lang w:val="en-US" w:eastAsia="zh-CN"/>
        </w:rPr>
      </w:pPr>
    </w:p>
    <w:p w14:paraId="259E000B">
      <w:pPr>
        <w:pStyle w:val="2"/>
        <w:rPr>
          <w:rFonts w:hint="default" w:ascii="宋体" w:hAnsi="宋体" w:eastAsia="宋体" w:cs="宋体"/>
          <w:b/>
          <w:color w:val="auto"/>
          <w:kern w:val="0"/>
          <w:sz w:val="28"/>
          <w:szCs w:val="28"/>
          <w:highlight w:val="none"/>
          <w:lang w:val="en-US" w:eastAsia="zh-CN"/>
        </w:rPr>
      </w:pPr>
    </w:p>
    <w:p w14:paraId="438E3F50">
      <w:pPr>
        <w:rPr>
          <w:rFonts w:hint="default" w:ascii="宋体" w:hAnsi="宋体" w:eastAsia="宋体" w:cs="宋体"/>
          <w:b/>
          <w:color w:val="auto"/>
          <w:kern w:val="0"/>
          <w:sz w:val="28"/>
          <w:szCs w:val="28"/>
          <w:highlight w:val="none"/>
          <w:lang w:val="en-US" w:eastAsia="zh-CN"/>
        </w:rPr>
      </w:pPr>
    </w:p>
    <w:p w14:paraId="5E6AE8F9">
      <w:pPr>
        <w:pStyle w:val="2"/>
        <w:rPr>
          <w:rFonts w:hint="eastAsia" w:ascii="宋体" w:hAnsi="宋体" w:cs="宋体"/>
          <w:b/>
          <w:color w:val="auto"/>
          <w:kern w:val="0"/>
          <w:sz w:val="28"/>
          <w:szCs w:val="28"/>
          <w:highlight w:val="none"/>
          <w:lang w:val="en-US" w:eastAsia="zh-CN"/>
        </w:rPr>
      </w:pPr>
    </w:p>
    <w:p w14:paraId="57F66EAB">
      <w:pPr>
        <w:pStyle w:val="2"/>
        <w:rPr>
          <w:rFonts w:hint="eastAsia" w:ascii="宋体" w:hAnsi="宋体" w:cs="宋体"/>
          <w:b/>
          <w:color w:val="auto"/>
          <w:kern w:val="0"/>
          <w:sz w:val="28"/>
          <w:szCs w:val="28"/>
          <w:highlight w:val="none"/>
          <w:lang w:val="en-US" w:eastAsia="zh-CN"/>
        </w:rPr>
      </w:pPr>
    </w:p>
    <w:p w14:paraId="495CB2D1">
      <w:pPr>
        <w:pStyle w:val="2"/>
        <w:rPr>
          <w:rFonts w:hint="eastAsia" w:ascii="宋体" w:hAnsi="宋体" w:cs="宋体"/>
          <w:b/>
          <w:color w:val="auto"/>
          <w:kern w:val="0"/>
          <w:sz w:val="28"/>
          <w:szCs w:val="28"/>
          <w:highlight w:val="none"/>
          <w:lang w:val="en-US" w:eastAsia="zh-CN"/>
        </w:rPr>
      </w:pPr>
    </w:p>
    <w:p w14:paraId="37D7E3CE">
      <w:pPr>
        <w:rPr>
          <w:rFonts w:hint="eastAsia"/>
          <w:lang w:val="en-US" w:eastAsia="zh-CN"/>
        </w:rPr>
      </w:pPr>
    </w:p>
    <w:p w14:paraId="68ED8E05">
      <w:pPr>
        <w:pStyle w:val="2"/>
        <w:rPr>
          <w:rFonts w:hint="eastAsia" w:ascii="宋体" w:hAnsi="宋体" w:cs="宋体"/>
          <w:b/>
          <w:color w:val="auto"/>
          <w:kern w:val="0"/>
          <w:sz w:val="28"/>
          <w:szCs w:val="28"/>
          <w:highlight w:val="none"/>
          <w:lang w:val="en-US" w:eastAsia="zh-CN"/>
        </w:rPr>
      </w:pPr>
    </w:p>
    <w:p w14:paraId="5FC14D3E">
      <w:pPr>
        <w:pStyle w:val="2"/>
        <w:rPr>
          <w:rFonts w:hint="eastAsia" w:ascii="宋体" w:hAnsi="宋体" w:cs="宋体"/>
          <w:b/>
          <w:color w:val="auto"/>
          <w:kern w:val="0"/>
          <w:sz w:val="28"/>
          <w:szCs w:val="28"/>
          <w:highlight w:val="none"/>
          <w:lang w:val="en-US" w:eastAsia="zh-CN"/>
        </w:rPr>
      </w:pPr>
    </w:p>
    <w:p w14:paraId="6900952F">
      <w:pPr>
        <w:pStyle w:val="2"/>
        <w:rPr>
          <w:rFonts w:hint="eastAsia" w:ascii="宋体" w:hAnsi="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tbl>
      <w:tblPr>
        <w:tblStyle w:val="17"/>
        <w:tblW w:w="0" w:type="auto"/>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3"/>
        <w:gridCol w:w="2113"/>
        <w:gridCol w:w="488"/>
        <w:gridCol w:w="7268"/>
      </w:tblGrid>
      <w:tr w14:paraId="03BC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92" w:type="dxa"/>
            <w:gridSpan w:val="4"/>
            <w:tcBorders>
              <w:top w:val="nil"/>
              <w:left w:val="nil"/>
              <w:bottom w:val="nil"/>
              <w:right w:val="nil"/>
            </w:tcBorders>
            <w:shd w:val="clear" w:color="auto" w:fill="auto"/>
            <w:vAlign w:val="center"/>
          </w:tcPr>
          <w:p w14:paraId="707E48AE">
            <w:pPr>
              <w:keepNext w:val="0"/>
              <w:keepLines w:val="0"/>
              <w:widowControl/>
              <w:suppressLineNumbers w:val="0"/>
              <w:jc w:val="center"/>
              <w:textAlignment w:val="cente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启东市吕四自来水厂有限公司Y型过滤器2025-2026年度采购项目报价清单</w:t>
            </w:r>
          </w:p>
          <w:tbl>
            <w:tblPr>
              <w:tblStyle w:val="17"/>
              <w:tblW w:w="101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836"/>
              <w:gridCol w:w="1378"/>
              <w:gridCol w:w="1128"/>
              <w:gridCol w:w="1171"/>
              <w:gridCol w:w="1183"/>
              <w:gridCol w:w="1203"/>
              <w:gridCol w:w="1468"/>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9D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04299F4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6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vMerge w:val="restart"/>
                  <w:tcBorders>
                    <w:top w:val="single" w:color="000000" w:sz="4" w:space="0"/>
                    <w:left w:val="single" w:color="000000" w:sz="4" w:space="0"/>
                    <w:right w:val="single" w:color="000000"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Y型过滤器</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D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CB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011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470</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AC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14100</w:t>
                  </w:r>
                </w:p>
              </w:tc>
              <w:tc>
                <w:tcPr>
                  <w:tcW w:w="1468" w:type="dxa"/>
                  <w:vMerge w:val="restart"/>
                  <w:tcBorders>
                    <w:top w:val="single" w:color="000000" w:sz="4" w:space="0"/>
                    <w:left w:val="single" w:color="000000"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36F1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3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36" w:type="dxa"/>
                  <w:vMerge w:val="continue"/>
                  <w:tcBorders>
                    <w:left w:val="single" w:color="000000" w:sz="4" w:space="0"/>
                    <w:right w:val="single" w:color="000000" w:sz="4" w:space="0"/>
                  </w:tcBorders>
                  <w:shd w:val="clear" w:color="auto" w:fill="auto"/>
                  <w:noWrap/>
                  <w:vAlign w:val="center"/>
                </w:tcPr>
                <w:p w14:paraId="37986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D904">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B04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A18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1380</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A9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27600</w:t>
                  </w:r>
                </w:p>
              </w:tc>
              <w:tc>
                <w:tcPr>
                  <w:tcW w:w="1468" w:type="dxa"/>
                  <w:vMerge w:val="continue"/>
                  <w:tcBorders>
                    <w:left w:val="single" w:color="000000" w:sz="4" w:space="0"/>
                    <w:right w:val="single" w:color="000000" w:sz="4" w:space="0"/>
                  </w:tcBorders>
                  <w:shd w:val="clear" w:color="auto" w:fill="auto"/>
                  <w:noWrap/>
                  <w:vAlign w:val="center"/>
                </w:tcPr>
                <w:p w14:paraId="12EFA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0C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3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36" w:type="dxa"/>
                  <w:vMerge w:val="continue"/>
                  <w:tcBorders>
                    <w:left w:val="single" w:color="000000" w:sz="4" w:space="0"/>
                    <w:right w:val="single" w:color="000000" w:sz="4" w:space="0"/>
                  </w:tcBorders>
                  <w:shd w:val="clear" w:color="auto" w:fill="auto"/>
                  <w:noWrap/>
                  <w:vAlign w:val="center"/>
                </w:tcPr>
                <w:p w14:paraId="701F6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2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3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7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A05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3280</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CE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16400</w:t>
                  </w:r>
                </w:p>
              </w:tc>
              <w:tc>
                <w:tcPr>
                  <w:tcW w:w="1468" w:type="dxa"/>
                  <w:vMerge w:val="continue"/>
                  <w:tcBorders>
                    <w:left w:val="single" w:color="000000" w:sz="4" w:space="0"/>
                    <w:right w:val="single" w:color="000000" w:sz="4" w:space="0"/>
                  </w:tcBorders>
                  <w:shd w:val="clear" w:color="auto" w:fill="auto"/>
                  <w:noWrap/>
                  <w:vAlign w:val="center"/>
                </w:tcPr>
                <w:p w14:paraId="39FF8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2B9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26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0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总    价（元）</w:t>
                  </w:r>
                </w:p>
              </w:tc>
              <w:tc>
                <w:tcPr>
                  <w:tcW w:w="753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C64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b/>
                      <w:bCs/>
                      <w:i w:val="0"/>
                      <w:iCs w:val="0"/>
                      <w:color w:val="000000"/>
                      <w:kern w:val="0"/>
                      <w:sz w:val="24"/>
                      <w:szCs w:val="24"/>
                      <w:u w:val="none"/>
                      <w:lang w:val="en-US" w:eastAsia="zh-CN" w:bidi="ar"/>
                    </w:rPr>
                    <w:t>（大写）伍万捌仟壹佰元整        （小写）58100.00元</w:t>
                  </w:r>
                </w:p>
              </w:tc>
            </w:tr>
          </w:tbl>
          <w:p w14:paraId="60F33A10">
            <w:pPr>
              <w:pStyle w:val="2"/>
              <w:rPr>
                <w:rFonts w:hint="eastAsia"/>
              </w:rPr>
            </w:pPr>
          </w:p>
        </w:tc>
      </w:tr>
      <w:tr w14:paraId="689B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1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E9B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注：</w:t>
            </w:r>
          </w:p>
          <w:p w14:paraId="115D237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一、供应商的资格要求</w:t>
            </w:r>
          </w:p>
          <w:p w14:paraId="7B6303C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1、符合《中华人民共和国政府采购法》第二十二条规定；</w:t>
            </w:r>
          </w:p>
          <w:p w14:paraId="00B713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2、未被“信用中国”、“中国政府采购网”、“信用江苏”网站列入失信被执行人、重大税收违法案件当事人名单、政府采购严重违法失信行为记录名单(提供网页截图)；</w:t>
            </w:r>
          </w:p>
          <w:p w14:paraId="11DE2CA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3、投标人应为在中华人民共和国境内注册的货物制造商或经销商，提供本项目中所采购的货物及服务，提供有效的营业执照；</w:t>
            </w:r>
          </w:p>
          <w:p w14:paraId="467387A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4、投标人提供的投标产品具有有效期内的质量监督检测中心出具的检验报告；</w:t>
            </w:r>
          </w:p>
          <w:p w14:paraId="706238F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5、报价人提供自2022年以来的供水企业业绩证明（相对应的合同、发票扫描件，加盖公章）；</w:t>
            </w:r>
          </w:p>
          <w:p w14:paraId="220225E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6、投标人应提供省级及以上由卫生行政主管部门颁发的涉及饮用水卫生安全产品卫生许可批件；</w:t>
            </w:r>
          </w:p>
          <w:p w14:paraId="0E138E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7、报价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                                                                                           </w:t>
            </w:r>
          </w:p>
          <w:p w14:paraId="36B7C49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二、本项目招标不接受联合体投标。</w:t>
            </w:r>
          </w:p>
          <w:p w14:paraId="26A4042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三、材料标准及要求</w:t>
            </w:r>
          </w:p>
          <w:p w14:paraId="48B5842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（一）设备技术标准</w:t>
            </w:r>
          </w:p>
          <w:p w14:paraId="73793DB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所投的设备必须满足以下国标:</w:t>
            </w:r>
          </w:p>
          <w:p w14:paraId="5A2400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（1）压力试验标准：GB/T13927-2008</w:t>
            </w:r>
          </w:p>
          <w:p w14:paraId="10D4FF3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（2）法兰连接标准：GB/T17241.6-2008</w:t>
            </w:r>
          </w:p>
          <w:p w14:paraId="4221335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（3）球墨铸铁技术条件：GB/T12227-2005</w:t>
            </w:r>
          </w:p>
          <w:p w14:paraId="41B3BE0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（4）通用阀门标志：GB/T12220-2008</w:t>
            </w:r>
          </w:p>
          <w:p w14:paraId="51204CE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（5）橡胶密封材料规范;HG/T3091-2000</w:t>
            </w:r>
          </w:p>
          <w:p w14:paraId="338D804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（6）生活饮用水输配水设备安全性评价标准：GB/T17219-2001</w:t>
            </w:r>
          </w:p>
          <w:p w14:paraId="6AE423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（二）技术性能及材质要求</w:t>
            </w:r>
          </w:p>
          <w:p w14:paraId="217B688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1、工作介质、温度及安装要求</w:t>
            </w:r>
          </w:p>
          <w:p w14:paraId="4867DF5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本次招标的阀门要求公称为压力1.0MPa，温度0℃～80℃的自来水或河水。</w:t>
            </w:r>
          </w:p>
          <w:p w14:paraId="1C3CDB1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2、阀体、阀盖</w:t>
            </w:r>
          </w:p>
          <w:p w14:paraId="0227B1D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2.1阀体、阀盖的材质均为球墨铸铁QT450－10或力学性能更高的材料，要符合GB12227规定的技术条件。阀体、阀盖要求进行热处理以消除内应力。商标及材质牌号铸在阀体上。需提供省级或以上质量检测机构出具的材质性能检测报告。</w:t>
            </w:r>
          </w:p>
          <w:p w14:paraId="13F4C58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★2.2滤网应为不锈钢304材质，目数为30~40；滤网的过滤面积不小于1.5倍的阀门公称通径面积，在流速3m/s时水损不大于2M。需提供省级或以上质量检测机构出具的不锈钢304材质性能检测报告。</w:t>
            </w:r>
          </w:p>
          <w:p w14:paraId="5223D8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2.3阀体应为Y型直流形式，底盖带有排污堵头螺栓，以便在不拆除过滤网即可实现排污。</w:t>
            </w:r>
          </w:p>
          <w:p w14:paraId="0619547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2.4法兰的材质与阀体一致，法兰要与阀体铸为一体,不接受法兰与阀体焊接型式，法兰的连接尺寸要符合GB/T17241.6-98的有关规定。</w:t>
            </w:r>
          </w:p>
          <w:p w14:paraId="3DD4C71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2.5阀体与阀盖之间的连接可以是法兰式连接。螺栓必须为碳钢镀彩锌材质。</w:t>
            </w:r>
          </w:p>
          <w:p w14:paraId="1844310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2.6阀体的最小壁厚应保证在1.5倍公称压力的壳体试验下，所有的部件不发生变形。</w:t>
            </w:r>
          </w:p>
          <w:p w14:paraId="38B2DDF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★2.7阀体与阀盖的密封橡胶首选三元乙丙橡胶（EPDM），要求符合GB/T 17219生活饮用水输配水设备及防护材料的安全性评价标准、几何尺寸精确，密封弹性佳。橡胶采用注胶工艺,整体成型,承诺绝不使用再生胶。</w:t>
            </w:r>
          </w:p>
          <w:p w14:paraId="75F52E7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★2.8须在投标时提供省级及以上级别技术监督部门的整机性能检验报告。</w:t>
            </w:r>
          </w:p>
          <w:p w14:paraId="2EE94DF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（三）其他技术要求</w:t>
            </w:r>
          </w:p>
          <w:p w14:paraId="7FACC6E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1、运至现场的密封圈不得有任何损坏现象，并且在阀门安装、使用过程中不得有松动，脱落、渗漏现象。</w:t>
            </w:r>
          </w:p>
          <w:p w14:paraId="692E323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★2、涂层</w:t>
            </w:r>
          </w:p>
          <w:p w14:paraId="60E2098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防腐前的阀体与阀盖内、外表面至少进行喷砂除锈，达到Sa2.5级；将铸件加热后才进行静电喷涂环氧树脂粉末工艺，最后烘干固化，必须保证涂层厚度均匀、色泽均一，涂层表面要光洁，无流痕；涂层厚度内、外表面不小于0.25MM；阀门外观颜色均采用蓝色。</w:t>
            </w:r>
          </w:p>
          <w:p w14:paraId="2A414D0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（四）铭牌与标志</w:t>
            </w:r>
          </w:p>
          <w:p w14:paraId="0629DD6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1、设备铭牌</w:t>
            </w:r>
          </w:p>
          <w:p w14:paraId="3F9799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铭牌应固定在明显的位置。</w:t>
            </w:r>
          </w:p>
          <w:p w14:paraId="6DAC49F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铭牌内容如下：阀门的型号及规格、工作压力、制造年月、制造厂家名称或厂标。</w:t>
            </w:r>
          </w:p>
          <w:p w14:paraId="526468C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2、阀门的标志</w:t>
            </w:r>
          </w:p>
          <w:p w14:paraId="66566CB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符合GB12220-89的规定，介质流向的箭头标向要正确，并与阀体整体铸出。</w:t>
            </w:r>
          </w:p>
        </w:tc>
      </w:tr>
      <w:tr w14:paraId="7541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3" w:type="dxa"/>
          <w:wAfter w:w="7268" w:type="dxa"/>
          <w:trHeight w:val="585" w:hRule="atLeast"/>
        </w:trPr>
        <w:tc>
          <w:tcPr>
            <w:tcW w:w="2113" w:type="dxa"/>
            <w:tcBorders>
              <w:top w:val="nil"/>
              <w:left w:val="nil"/>
              <w:bottom w:val="nil"/>
              <w:right w:val="nil"/>
            </w:tcBorders>
            <w:shd w:val="clear" w:color="auto" w:fill="auto"/>
            <w:noWrap/>
            <w:vAlign w:val="center"/>
          </w:tcPr>
          <w:p w14:paraId="3A6878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报价单位（盖章）：</w:t>
            </w:r>
          </w:p>
        </w:tc>
        <w:tc>
          <w:tcPr>
            <w:tcW w:w="488" w:type="dxa"/>
            <w:tcBorders>
              <w:top w:val="nil"/>
              <w:left w:val="nil"/>
              <w:bottom w:val="nil"/>
              <w:right w:val="nil"/>
            </w:tcBorders>
            <w:shd w:val="clear" w:color="auto" w:fill="auto"/>
            <w:noWrap/>
            <w:vAlign w:val="center"/>
          </w:tcPr>
          <w:p w14:paraId="062751E5">
            <w:pPr>
              <w:rPr>
                <w:rFonts w:hint="eastAsia" w:ascii="宋体" w:hAnsi="宋体" w:eastAsia="宋体" w:cs="宋体"/>
                <w:i w:val="0"/>
                <w:iCs w:val="0"/>
                <w:color w:val="000000"/>
                <w:sz w:val="22"/>
                <w:szCs w:val="22"/>
                <w:u w:val="none"/>
              </w:rPr>
            </w:pPr>
          </w:p>
        </w:tc>
      </w:tr>
      <w:tr w14:paraId="4E22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3" w:type="dxa"/>
          <w:wAfter w:w="7268" w:type="dxa"/>
          <w:trHeight w:val="585" w:hRule="atLeast"/>
        </w:trPr>
        <w:tc>
          <w:tcPr>
            <w:tcW w:w="2113" w:type="dxa"/>
            <w:tcBorders>
              <w:top w:val="nil"/>
              <w:left w:val="nil"/>
              <w:bottom w:val="nil"/>
              <w:right w:val="nil"/>
            </w:tcBorders>
            <w:shd w:val="clear" w:color="auto" w:fill="auto"/>
            <w:noWrap/>
            <w:vAlign w:val="center"/>
          </w:tcPr>
          <w:p w14:paraId="228835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88" w:type="dxa"/>
            <w:tcBorders>
              <w:top w:val="nil"/>
              <w:left w:val="nil"/>
              <w:bottom w:val="nil"/>
              <w:right w:val="nil"/>
            </w:tcBorders>
            <w:shd w:val="clear" w:color="auto" w:fill="auto"/>
            <w:noWrap/>
            <w:vAlign w:val="center"/>
          </w:tcPr>
          <w:p w14:paraId="36A6D72B">
            <w:pPr>
              <w:rPr>
                <w:rFonts w:hint="eastAsia" w:ascii="宋体" w:hAnsi="宋体" w:eastAsia="宋体" w:cs="宋体"/>
                <w:i w:val="0"/>
                <w:iCs w:val="0"/>
                <w:color w:val="000000"/>
                <w:sz w:val="22"/>
                <w:szCs w:val="22"/>
                <w:u w:val="none"/>
              </w:rPr>
            </w:pPr>
          </w:p>
        </w:tc>
      </w:tr>
      <w:tr w14:paraId="7899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3" w:type="dxa"/>
          <w:wAfter w:w="7268" w:type="dxa"/>
          <w:trHeight w:val="585" w:hRule="atLeast"/>
        </w:trPr>
        <w:tc>
          <w:tcPr>
            <w:tcW w:w="2113" w:type="dxa"/>
            <w:tcBorders>
              <w:top w:val="nil"/>
              <w:left w:val="nil"/>
              <w:bottom w:val="nil"/>
              <w:right w:val="nil"/>
            </w:tcBorders>
            <w:shd w:val="clear" w:color="auto" w:fill="auto"/>
            <w:noWrap/>
            <w:vAlign w:val="center"/>
          </w:tcPr>
          <w:p w14:paraId="548C7F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488" w:type="dxa"/>
            <w:tcBorders>
              <w:top w:val="nil"/>
              <w:left w:val="nil"/>
              <w:bottom w:val="nil"/>
              <w:right w:val="nil"/>
            </w:tcBorders>
            <w:shd w:val="clear" w:color="auto" w:fill="auto"/>
            <w:noWrap/>
            <w:vAlign w:val="center"/>
          </w:tcPr>
          <w:p w14:paraId="058C8CB1">
            <w:pPr>
              <w:rPr>
                <w:rFonts w:hint="eastAsia" w:ascii="宋体" w:hAnsi="宋体" w:eastAsia="宋体" w:cs="宋体"/>
                <w:i w:val="0"/>
                <w:iCs w:val="0"/>
                <w:color w:val="000000"/>
                <w:sz w:val="22"/>
                <w:szCs w:val="22"/>
                <w:u w:val="none"/>
              </w:rPr>
            </w:pPr>
          </w:p>
        </w:tc>
      </w:tr>
      <w:tr w14:paraId="7E12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23" w:type="dxa"/>
          <w:wAfter w:w="7268" w:type="dxa"/>
          <w:trHeight w:val="585" w:hRule="atLeast"/>
        </w:trPr>
        <w:tc>
          <w:tcPr>
            <w:tcW w:w="2113" w:type="dxa"/>
            <w:tcBorders>
              <w:top w:val="nil"/>
              <w:left w:val="nil"/>
              <w:bottom w:val="nil"/>
              <w:right w:val="nil"/>
            </w:tcBorders>
            <w:shd w:val="clear" w:color="auto" w:fill="auto"/>
            <w:noWrap/>
            <w:vAlign w:val="center"/>
          </w:tcPr>
          <w:p w14:paraId="667C58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报价时间：</w:t>
            </w:r>
          </w:p>
        </w:tc>
        <w:tc>
          <w:tcPr>
            <w:tcW w:w="488" w:type="dxa"/>
            <w:tcBorders>
              <w:top w:val="nil"/>
              <w:left w:val="nil"/>
              <w:bottom w:val="nil"/>
              <w:right w:val="nil"/>
            </w:tcBorders>
            <w:shd w:val="clear" w:color="auto" w:fill="auto"/>
            <w:noWrap/>
            <w:vAlign w:val="center"/>
          </w:tcPr>
          <w:p w14:paraId="3DC399B5">
            <w:pPr>
              <w:rPr>
                <w:rFonts w:hint="eastAsia" w:ascii="宋体" w:hAnsi="宋体" w:eastAsia="宋体" w:cs="宋体"/>
                <w:i w:val="0"/>
                <w:iCs w:val="0"/>
                <w:color w:val="000000"/>
                <w:sz w:val="22"/>
                <w:szCs w:val="22"/>
                <w:u w:val="none"/>
              </w:rPr>
            </w:pPr>
          </w:p>
        </w:tc>
      </w:tr>
    </w:tbl>
    <w:p w14:paraId="2E99BD8C">
      <w:pPr>
        <w:pStyle w:val="2"/>
        <w:rPr>
          <w:rFonts w:hint="default"/>
          <w:lang w:val="en-US" w:eastAsia="zh-CN"/>
        </w:rPr>
      </w:pPr>
    </w:p>
    <w:bookmarkEnd w:id="0"/>
    <w:sectPr>
      <w:footerReference r:id="rId3" w:type="default"/>
      <w:pgSz w:w="11906" w:h="16838"/>
      <w:pgMar w:top="1440" w:right="1310" w:bottom="1440" w:left="131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4161F"/>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C9698C"/>
    <w:rsid w:val="06DE411B"/>
    <w:rsid w:val="081F710D"/>
    <w:rsid w:val="08767CBA"/>
    <w:rsid w:val="09CE1802"/>
    <w:rsid w:val="0ADA1283"/>
    <w:rsid w:val="0AF0679F"/>
    <w:rsid w:val="0B837613"/>
    <w:rsid w:val="0C807FF6"/>
    <w:rsid w:val="0D18108F"/>
    <w:rsid w:val="0D9A7247"/>
    <w:rsid w:val="0DA50256"/>
    <w:rsid w:val="0E8076DC"/>
    <w:rsid w:val="0EE36B7D"/>
    <w:rsid w:val="0F0243F5"/>
    <w:rsid w:val="108154AD"/>
    <w:rsid w:val="12EA747F"/>
    <w:rsid w:val="13121E77"/>
    <w:rsid w:val="13455F77"/>
    <w:rsid w:val="15B72A35"/>
    <w:rsid w:val="15C50828"/>
    <w:rsid w:val="190E4410"/>
    <w:rsid w:val="1943175F"/>
    <w:rsid w:val="1B932687"/>
    <w:rsid w:val="1BCA6B98"/>
    <w:rsid w:val="1CAC06B2"/>
    <w:rsid w:val="1E8B21FB"/>
    <w:rsid w:val="21477E44"/>
    <w:rsid w:val="221847B8"/>
    <w:rsid w:val="2262713B"/>
    <w:rsid w:val="228D26CE"/>
    <w:rsid w:val="22CA2753"/>
    <w:rsid w:val="240E2A35"/>
    <w:rsid w:val="263D105E"/>
    <w:rsid w:val="26AF77E5"/>
    <w:rsid w:val="270B5BBD"/>
    <w:rsid w:val="279B70C5"/>
    <w:rsid w:val="27B57E67"/>
    <w:rsid w:val="2940272E"/>
    <w:rsid w:val="29AC468F"/>
    <w:rsid w:val="2B54029B"/>
    <w:rsid w:val="2BC3384A"/>
    <w:rsid w:val="2CC97A81"/>
    <w:rsid w:val="2CEF3FB8"/>
    <w:rsid w:val="2CF524E9"/>
    <w:rsid w:val="2DA66135"/>
    <w:rsid w:val="2DB82625"/>
    <w:rsid w:val="2ED5212C"/>
    <w:rsid w:val="30552FD2"/>
    <w:rsid w:val="30C90D87"/>
    <w:rsid w:val="30D43CC1"/>
    <w:rsid w:val="30F33128"/>
    <w:rsid w:val="322A22B1"/>
    <w:rsid w:val="347304AF"/>
    <w:rsid w:val="36F07953"/>
    <w:rsid w:val="3885236D"/>
    <w:rsid w:val="391E3890"/>
    <w:rsid w:val="3AF02BC0"/>
    <w:rsid w:val="3AF066C3"/>
    <w:rsid w:val="3BEA51F5"/>
    <w:rsid w:val="3C6A6406"/>
    <w:rsid w:val="3D2C0ADF"/>
    <w:rsid w:val="3E1E176E"/>
    <w:rsid w:val="3E202F15"/>
    <w:rsid w:val="3E2B2770"/>
    <w:rsid w:val="3E9078C4"/>
    <w:rsid w:val="3FD55619"/>
    <w:rsid w:val="404B6C28"/>
    <w:rsid w:val="41F37139"/>
    <w:rsid w:val="420951A2"/>
    <w:rsid w:val="424A7A77"/>
    <w:rsid w:val="42875CFB"/>
    <w:rsid w:val="42C92294"/>
    <w:rsid w:val="43132246"/>
    <w:rsid w:val="45207E59"/>
    <w:rsid w:val="45FA78C3"/>
    <w:rsid w:val="47675677"/>
    <w:rsid w:val="48F53072"/>
    <w:rsid w:val="494621F7"/>
    <w:rsid w:val="4B5555B7"/>
    <w:rsid w:val="4C7F348C"/>
    <w:rsid w:val="4CA44F5B"/>
    <w:rsid w:val="4F25246D"/>
    <w:rsid w:val="50EA7F43"/>
    <w:rsid w:val="50F06B23"/>
    <w:rsid w:val="513973A6"/>
    <w:rsid w:val="51ED6A4B"/>
    <w:rsid w:val="52304CA0"/>
    <w:rsid w:val="525B1C51"/>
    <w:rsid w:val="5331250E"/>
    <w:rsid w:val="54F36E09"/>
    <w:rsid w:val="558820D0"/>
    <w:rsid w:val="57346FE0"/>
    <w:rsid w:val="57F83763"/>
    <w:rsid w:val="59DB49CF"/>
    <w:rsid w:val="5A3B2D3C"/>
    <w:rsid w:val="5A683FFF"/>
    <w:rsid w:val="5AA769EB"/>
    <w:rsid w:val="5B9A35FF"/>
    <w:rsid w:val="5C664E8E"/>
    <w:rsid w:val="5DBF29C4"/>
    <w:rsid w:val="5F5E0F4F"/>
    <w:rsid w:val="62D85246"/>
    <w:rsid w:val="631F5A7F"/>
    <w:rsid w:val="64C9114F"/>
    <w:rsid w:val="662752EF"/>
    <w:rsid w:val="66DD5F97"/>
    <w:rsid w:val="679512FB"/>
    <w:rsid w:val="687A167D"/>
    <w:rsid w:val="68BA0755"/>
    <w:rsid w:val="68E65C61"/>
    <w:rsid w:val="68F94F56"/>
    <w:rsid w:val="693F2885"/>
    <w:rsid w:val="6B342BA7"/>
    <w:rsid w:val="6BE60DC5"/>
    <w:rsid w:val="6CF54EC6"/>
    <w:rsid w:val="6D983C19"/>
    <w:rsid w:val="6F8F0EBD"/>
    <w:rsid w:val="6FB438A3"/>
    <w:rsid w:val="701F75C9"/>
    <w:rsid w:val="703F45D4"/>
    <w:rsid w:val="708F5A33"/>
    <w:rsid w:val="70990433"/>
    <w:rsid w:val="70D36330"/>
    <w:rsid w:val="71072C9F"/>
    <w:rsid w:val="724D47CD"/>
    <w:rsid w:val="72D76682"/>
    <w:rsid w:val="736E263D"/>
    <w:rsid w:val="73F3271F"/>
    <w:rsid w:val="755D5634"/>
    <w:rsid w:val="7638442C"/>
    <w:rsid w:val="78937BBC"/>
    <w:rsid w:val="79852FF6"/>
    <w:rsid w:val="79E77679"/>
    <w:rsid w:val="7ACC2155"/>
    <w:rsid w:val="7B85402B"/>
    <w:rsid w:val="7C156B31"/>
    <w:rsid w:val="7C5E095D"/>
    <w:rsid w:val="7CA413CC"/>
    <w:rsid w:val="7CB80EEC"/>
    <w:rsid w:val="7D105E6B"/>
    <w:rsid w:val="7D1C36F2"/>
    <w:rsid w:val="7DD66E82"/>
    <w:rsid w:val="7DD73D91"/>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2"/>
    <w:next w:val="16"/>
    <w:autoRedefine/>
    <w:unhideWhenUsed/>
    <w:qFormat/>
    <w:uiPriority w:val="99"/>
    <w:pPr>
      <w:ind w:firstLine="420" w:firstLineChars="100"/>
    </w:pPr>
  </w:style>
  <w:style w:type="paragraph" w:styleId="16">
    <w:name w:val="Body Text First Indent 2"/>
    <w:basedOn w:val="9"/>
    <w:autoRedefine/>
    <w:qFormat/>
    <w:uiPriority w:val="0"/>
    <w:pPr>
      <w:spacing w:after="120"/>
      <w:ind w:firstLine="420" w:firstLineChars="200"/>
    </w:pPr>
    <w:rPr>
      <w:rFonts w:ascii="Times New Roman" w:hAnsi="Times New Roman"/>
      <w:szCs w:val="20"/>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19"/>
    <w:link w:val="3"/>
    <w:autoRedefine/>
    <w:qFormat/>
    <w:uiPriority w:val="9"/>
    <w:rPr>
      <w:b/>
      <w:bCs/>
      <w:kern w:val="44"/>
      <w:sz w:val="44"/>
      <w:szCs w:val="44"/>
    </w:rPr>
  </w:style>
  <w:style w:type="character" w:customStyle="1" w:styleId="23">
    <w:name w:val="标题 2 Char"/>
    <w:basedOn w:val="19"/>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19"/>
    <w:link w:val="5"/>
    <w:autoRedefine/>
    <w:qFormat/>
    <w:uiPriority w:val="9"/>
    <w:rPr>
      <w:b/>
      <w:bCs/>
      <w:sz w:val="32"/>
      <w:szCs w:val="32"/>
    </w:rPr>
  </w:style>
  <w:style w:type="character" w:customStyle="1" w:styleId="25">
    <w:name w:val="标题 4 Char"/>
    <w:basedOn w:val="19"/>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19"/>
    <w:link w:val="7"/>
    <w:autoRedefine/>
    <w:qFormat/>
    <w:uiPriority w:val="9"/>
    <w:rPr>
      <w:b/>
      <w:bCs/>
      <w:sz w:val="28"/>
      <w:szCs w:val="28"/>
    </w:rPr>
  </w:style>
  <w:style w:type="character" w:customStyle="1" w:styleId="27">
    <w:name w:val="标题 6 Char"/>
    <w:basedOn w:val="19"/>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19"/>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19"/>
    <w:autoRedefine/>
    <w:qFormat/>
    <w:uiPriority w:val="0"/>
    <w:rPr>
      <w:rFonts w:hint="eastAsia" w:ascii="宋体" w:hAnsi="宋体" w:eastAsia="宋体" w:cs="宋体"/>
      <w:color w:val="000000"/>
      <w:sz w:val="20"/>
      <w:szCs w:val="20"/>
      <w:u w:val="none"/>
    </w:rPr>
  </w:style>
  <w:style w:type="character" w:customStyle="1" w:styleId="31">
    <w:name w:val="font41"/>
    <w:basedOn w:val="19"/>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3697</Words>
  <Characters>4029</Characters>
  <Lines>39</Lines>
  <Paragraphs>10</Paragraphs>
  <TotalTime>6</TotalTime>
  <ScaleCrop>false</ScaleCrop>
  <LinksUpToDate>false</LinksUpToDate>
  <CharactersWithSpaces>4161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2025-02-13T01:18:00Z</cp:lastPrinted>
  <dcterms:modified xsi:type="dcterms:W3CDTF">2025-06-10T08:58:59Z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C53A0909849E45249E7D6DA42EAE1C66_13</vt:lpwstr>
  </property>
  <property fmtid="{D5CDD505-2E9C-101B-9397-08002B2CF9AE}" pid="4" name="KSOTemplateDocerSaveRecord">
    <vt:lpwstr>eyJoZGlkIjoiNzFhZjk3MWU2ODZjMTU1ZDU0MWFlZmQyMTYwNjE5ZjIiLCJ1c2VySWQiOiIyMzk3ODg1OTIifQ==</vt:lpwstr>
  </property>
</Properties>
</file>