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AC3BA">
      <w:pPr>
        <w:jc w:val="center"/>
        <w:rPr>
          <w:rFonts w:ascii="宋体"/>
          <w:b/>
          <w:spacing w:val="-6"/>
          <w:sz w:val="32"/>
          <w:szCs w:val="32"/>
        </w:rPr>
      </w:pPr>
      <w:bookmarkStart w:id="0" w:name="_GoBack"/>
      <w:r>
        <w:rPr>
          <w:rFonts w:hint="eastAsia" w:ascii="宋体"/>
          <w:b/>
          <w:spacing w:val="-6"/>
          <w:sz w:val="32"/>
          <w:szCs w:val="32"/>
        </w:rPr>
        <w:t>启东市吕四自来水厂有限公司</w:t>
      </w:r>
    </w:p>
    <w:p w14:paraId="07341867">
      <w:pPr>
        <w:jc w:val="center"/>
        <w:rPr>
          <w:rFonts w:ascii="宋体"/>
          <w:b/>
          <w:sz w:val="32"/>
          <w:szCs w:val="32"/>
        </w:rPr>
      </w:pPr>
      <w:r>
        <w:rPr>
          <w:rFonts w:hint="eastAsia" w:ascii="宋体"/>
          <w:b/>
          <w:spacing w:val="-6"/>
          <w:sz w:val="32"/>
          <w:szCs w:val="32"/>
        </w:rPr>
        <w:t>倒流防止器2025-2026年度采购项目</w:t>
      </w:r>
      <w:r>
        <w:rPr>
          <w:rFonts w:hint="eastAsia" w:ascii="宋体"/>
          <w:b/>
          <w:sz w:val="32"/>
          <w:szCs w:val="32"/>
        </w:rPr>
        <w:t>招标公告</w:t>
      </w:r>
    </w:p>
    <w:p w14:paraId="3EE0129A">
      <w:pPr>
        <w:spacing w:line="440" w:lineRule="exact"/>
        <w:ind w:firstLine="480" w:firstLineChars="200"/>
        <w:rPr>
          <w:rFonts w:ascii="宋体" w:cs="宋体"/>
          <w:sz w:val="24"/>
          <w:szCs w:val="24"/>
        </w:rPr>
      </w:pPr>
      <w:r>
        <w:rPr>
          <w:rFonts w:hint="eastAsia" w:ascii="宋体" w:cs="宋体"/>
          <w:sz w:val="24"/>
          <w:szCs w:val="24"/>
        </w:rPr>
        <w:t>启东市吕四自来水厂有限公司倒流防止器2025-2026年度采购项目即将实施，现就该项目进行招标采购。</w:t>
      </w:r>
    </w:p>
    <w:p w14:paraId="2194FC05">
      <w:pPr>
        <w:spacing w:line="440" w:lineRule="exact"/>
        <w:ind w:firstLine="480" w:firstLineChars="200"/>
        <w:rPr>
          <w:rFonts w:ascii="宋体" w:cs="宋体"/>
          <w:sz w:val="24"/>
          <w:szCs w:val="24"/>
        </w:rPr>
      </w:pPr>
      <w:r>
        <w:rPr>
          <w:rFonts w:hint="eastAsia" w:ascii="宋体" w:cs="宋体"/>
          <w:sz w:val="24"/>
          <w:szCs w:val="24"/>
        </w:rPr>
        <w:t>一、采购需求：详见附件《启东市吕四自来水厂有限公司倒流防止器2025-2026年度采购项目报价清单》。</w:t>
      </w:r>
    </w:p>
    <w:p w14:paraId="504BCA4E">
      <w:pPr>
        <w:pStyle w:val="14"/>
        <w:shd w:val="clear" w:color="auto" w:fill="FFFFFF"/>
        <w:spacing w:before="0" w:beforeAutospacing="0" w:after="0" w:afterAutospacing="0" w:line="440" w:lineRule="exact"/>
        <w:ind w:firstLine="480" w:firstLineChars="200"/>
        <w:jc w:val="both"/>
        <w:rPr>
          <w:rFonts w:ascii="宋体" w:eastAsia="宋体" w:cs="宋体"/>
          <w:color w:val="000000"/>
        </w:rPr>
      </w:pPr>
      <w:r>
        <w:rPr>
          <w:rFonts w:hint="eastAsia" w:ascii="宋体" w:eastAsia="宋体" w:cs="宋体"/>
          <w:color w:val="000000"/>
        </w:rPr>
        <w:t>二、约定事项</w:t>
      </w:r>
    </w:p>
    <w:p w14:paraId="7AFAED17">
      <w:pPr>
        <w:spacing w:line="440" w:lineRule="exact"/>
        <w:ind w:firstLine="480" w:firstLineChars="200"/>
        <w:rPr>
          <w:rFonts w:ascii="宋体" w:cs="宋体"/>
          <w:sz w:val="24"/>
          <w:szCs w:val="24"/>
        </w:rPr>
      </w:pPr>
      <w:r>
        <w:rPr>
          <w:rFonts w:hint="eastAsia" w:ascii="宋体" w:cs="宋体"/>
          <w:sz w:val="24"/>
          <w:szCs w:val="24"/>
        </w:rPr>
        <w:t>1.供货周期要求：1年（自合同签订之日起）。</w:t>
      </w:r>
    </w:p>
    <w:p w14:paraId="719DDDC7">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2.履约保证金交纳要求：成交金额的10%。成交供应商的履约保证金须在成交通知书发出之日起至合同签订前汇入采购单位账户（应当银行转账、网银形式提交），成交供应商凭成交通知书与采购单位签订合同。超期或未有协商，则视为自动放弃成交资格。</w:t>
      </w:r>
    </w:p>
    <w:p w14:paraId="305E61BE">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1、成交供应商全部履约合同义务，经采购单位验收合格无质量、进度等问题的，采购人在履约期结束且验收合格后一次性退还履约保证金。</w:t>
      </w:r>
    </w:p>
    <w:p w14:paraId="0F7599B4">
      <w:pPr>
        <w:pStyle w:val="14"/>
        <w:shd w:val="clear" w:color="auto" w:fill="FFFFFF"/>
        <w:spacing w:before="0" w:beforeAutospacing="0" w:after="0" w:afterAutospacing="0" w:line="360" w:lineRule="atLeast"/>
        <w:ind w:firstLine="480"/>
        <w:jc w:val="both"/>
        <w:rPr>
          <w:rFonts w:ascii="宋体" w:eastAsia="宋体" w:cs="宋体"/>
          <w:color w:val="666666"/>
          <w:shd w:val="clear" w:color="auto" w:fill="FFFFFF"/>
        </w:rPr>
      </w:pPr>
      <w:r>
        <w:rPr>
          <w:rFonts w:hint="eastAsia" w:ascii="宋体" w:eastAsia="宋体" w:cs="宋体"/>
          <w:color w:val="666666"/>
          <w:shd w:val="clear" w:color="auto" w:fill="FFFFFF"/>
        </w:rPr>
        <w:t>2、发生以下情况的，履约保证金不予退还或部分退还：    </w:t>
      </w:r>
    </w:p>
    <w:p w14:paraId="3187ADDA">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（1）签订合同后，成交供应商不履行合同义务的，采购单位有权全额扣除履约保证金，全额不予退还，同时采购单位亦有权终止合同，成交供应商还须承担相应的法律赔偿责任。</w:t>
      </w:r>
    </w:p>
    <w:p w14:paraId="28319242">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2）成交供应商在履约过程中发生违约行为（在收送货期间无理由拒绝收送货、材料质量或数量上不符合采购人要求、接采购人通知后不及时送货等），给采购单位造成损失的，采购单位有权在成交供应商缴纳的履约保证金中予以扣款，以弥补采购单位经济损失，不足的部分成交供应商另外补齐。</w:t>
      </w:r>
    </w:p>
    <w:p w14:paraId="25F89497">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（3）如由于成交供应商原因，中途停止供货的，履约保证金不予退还。</w:t>
      </w:r>
    </w:p>
    <w:p w14:paraId="2DFD17DF">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3.质保要求：1年以上。</w:t>
      </w:r>
    </w:p>
    <w:p w14:paraId="0FE3DD9C">
      <w:pPr>
        <w:pStyle w:val="14"/>
        <w:shd w:val="clear" w:color="auto" w:fill="FFFFFF"/>
        <w:spacing w:before="0" w:beforeAutospacing="0" w:after="0" w:afterAutospacing="0" w:line="360" w:lineRule="atLeast"/>
        <w:ind w:firstLine="480"/>
        <w:jc w:val="both"/>
        <w:rPr>
          <w:rFonts w:ascii="宋体" w:eastAsia="宋体" w:cs="宋体"/>
        </w:rPr>
      </w:pPr>
      <w:r>
        <w:rPr>
          <w:rFonts w:hint="eastAsia" w:ascii="宋体" w:eastAsia="宋体" w:cs="宋体"/>
          <w:color w:val="666666"/>
          <w:shd w:val="clear" w:color="auto" w:fill="FFFFFF"/>
        </w:rPr>
        <w:t>4.开标时间、地点：请于</w:t>
      </w:r>
      <w:r>
        <w:rPr>
          <w:rStyle w:val="19"/>
          <w:rFonts w:hint="eastAsia" w:ascii="宋体" w:eastAsia="宋体" w:cs="宋体"/>
          <w:color w:val="666666"/>
          <w:u w:val="single"/>
          <w:shd w:val="clear" w:color="auto" w:fill="FFFFFF"/>
        </w:rPr>
        <w:t>2025年6月9日下午15:30时</w:t>
      </w:r>
      <w:r>
        <w:rPr>
          <w:rFonts w:hint="eastAsia" w:ascii="宋体" w:eastAsia="宋体" w:cs="宋体"/>
          <w:color w:val="666666"/>
          <w:shd w:val="clear" w:color="auto" w:fill="FFFFFF"/>
        </w:rPr>
        <w:t>携报价资料在</w:t>
      </w:r>
      <w:r>
        <w:rPr>
          <w:rFonts w:hint="eastAsia" w:ascii="宋体" w:eastAsia="宋体" w:cs="宋体"/>
          <w:b/>
          <w:bCs/>
          <w:color w:val="666666"/>
          <w:u w:val="single"/>
          <w:shd w:val="clear" w:color="auto" w:fill="FFFFFF"/>
        </w:rPr>
        <w:t>启东市汇龙镇金沙江路672号</w:t>
      </w:r>
      <w:r>
        <w:rPr>
          <w:rStyle w:val="19"/>
          <w:rFonts w:hint="eastAsia" w:ascii="宋体" w:eastAsia="宋体" w:cs="宋体"/>
          <w:color w:val="666666"/>
          <w:u w:val="single"/>
          <w:shd w:val="clear" w:color="auto" w:fill="FFFFFF"/>
        </w:rPr>
        <w:t>启东市城投集团二楼开标室</w:t>
      </w:r>
      <w:r>
        <w:rPr>
          <w:rFonts w:hint="eastAsia" w:ascii="宋体" w:eastAsia="宋体" w:cs="宋体"/>
          <w:color w:val="666666"/>
          <w:shd w:val="clear" w:color="auto" w:fill="FFFFFF"/>
        </w:rPr>
        <w:t>参与投标报价。</w:t>
      </w:r>
    </w:p>
    <w:p w14:paraId="22EC3422">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5.投标资料要求：</w:t>
      </w:r>
    </w:p>
    <w:p w14:paraId="05AD2FE1">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授权委托人须携带</w:t>
      </w:r>
      <w:r>
        <w:rPr>
          <w:rFonts w:hint="eastAsia" w:ascii="宋体" w:eastAsia="宋体" w:cs="宋体"/>
          <w:color w:val="666666"/>
          <w:u w:val="single"/>
          <w:shd w:val="clear" w:color="auto" w:fill="FFFFFF"/>
        </w:rPr>
        <w:t>企业营业执照复印件</w:t>
      </w:r>
      <w:r>
        <w:rPr>
          <w:rFonts w:hint="eastAsia" w:ascii="宋体" w:eastAsia="宋体" w:cs="宋体"/>
          <w:color w:val="666666"/>
          <w:shd w:val="clear" w:color="auto" w:fill="FFFFFF"/>
        </w:rPr>
        <w:t>、</w:t>
      </w:r>
      <w:r>
        <w:rPr>
          <w:rFonts w:hint="eastAsia" w:ascii="宋体" w:eastAsia="宋体" w:cs="宋体"/>
          <w:color w:val="666666"/>
          <w:u w:val="single"/>
          <w:shd w:val="clear" w:color="auto" w:fill="FFFFFF"/>
        </w:rPr>
        <w:t>资质证书复印件</w:t>
      </w:r>
      <w:r>
        <w:rPr>
          <w:rFonts w:hint="eastAsia" w:ascii="宋体" w:eastAsia="宋体" w:cs="宋体"/>
          <w:color w:val="666666"/>
          <w:shd w:val="clear" w:color="auto" w:fill="FFFFFF"/>
        </w:rPr>
        <w:t>、</w:t>
      </w:r>
      <w:r>
        <w:rPr>
          <w:rFonts w:hint="eastAsia" w:ascii="宋体" w:eastAsia="宋体" w:cs="宋体"/>
          <w:color w:val="666666"/>
          <w:u w:val="single"/>
          <w:shd w:val="clear" w:color="auto" w:fill="FFFFFF"/>
        </w:rPr>
        <w:t>授权委托书原件</w:t>
      </w:r>
      <w:r>
        <w:rPr>
          <w:rFonts w:hint="eastAsia" w:ascii="宋体" w:eastAsia="宋体" w:cs="宋体"/>
          <w:color w:val="666666"/>
          <w:shd w:val="clear" w:color="auto" w:fill="FFFFFF"/>
        </w:rPr>
        <w:t>、</w:t>
      </w:r>
      <w:r>
        <w:rPr>
          <w:rFonts w:hint="eastAsia" w:ascii="宋体" w:eastAsia="宋体" w:cs="宋体"/>
          <w:color w:val="666666"/>
          <w:u w:val="single"/>
          <w:shd w:val="clear" w:color="auto" w:fill="FFFFFF"/>
        </w:rPr>
        <w:t>本人身份证正反面复印件</w:t>
      </w:r>
      <w:r>
        <w:rPr>
          <w:rFonts w:hint="eastAsia" w:ascii="宋体" w:eastAsia="宋体" w:cs="宋体"/>
          <w:color w:val="666666"/>
          <w:shd w:val="clear" w:color="auto" w:fill="FFFFFF"/>
        </w:rPr>
        <w:t>、</w:t>
      </w:r>
      <w:r>
        <w:rPr>
          <w:rFonts w:hint="eastAsia" w:ascii="宋体" w:eastAsia="宋体" w:cs="宋体"/>
          <w:color w:val="666666"/>
          <w:u w:val="single"/>
          <w:shd w:val="clear" w:color="auto" w:fill="FFFFFF"/>
        </w:rPr>
        <w:t>投标函原件、报价清单（必须按提供的样表格式填写报价，所有涉及报价的页面均必须加盖单位公章，资格审查和报价表须分开密封，否则视为无效报价文件），及自2022年以来的供水企业业绩证明（相对应的合同、发票扫描件）以上材料均需加盖投标人公章，投标文件装订成册密封并于封口处加盖投标人公章（不允许使用活页夹、拉杆夹、文件夹、塑料方便式书脊（插入式或穿孔式）装订），密封袋及投标文件封面上标明：招标人名称、项目名称、投标人名称，否则将作废标处理。</w:t>
      </w:r>
    </w:p>
    <w:p w14:paraId="2A3A0651">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注：提供复印件的材料应提供原件备查。</w:t>
      </w:r>
    </w:p>
    <w:p w14:paraId="09FABC13">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6.报价要求：</w:t>
      </w:r>
    </w:p>
    <w:p w14:paraId="32E5549A">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本项目招标控制价（含税）为人民币</w:t>
      </w:r>
      <w:r>
        <w:rPr>
          <w:rFonts w:hint="eastAsia" w:ascii="宋体" w:eastAsia="宋体" w:cs="宋体"/>
          <w:color w:val="666666"/>
          <w:u w:val="single"/>
          <w:shd w:val="clear" w:color="auto" w:fill="FFFFFF"/>
        </w:rPr>
        <w:t>363230.00元</w:t>
      </w:r>
      <w:r>
        <w:rPr>
          <w:rFonts w:hint="eastAsia" w:ascii="宋体" w:eastAsia="宋体" w:cs="宋体"/>
          <w:color w:val="666666"/>
          <w:shd w:val="clear" w:color="auto" w:fill="FFFFFF"/>
        </w:rPr>
        <w:t>（大写：</w:t>
      </w:r>
      <w:r>
        <w:rPr>
          <w:rFonts w:hint="eastAsia" w:ascii="宋体" w:eastAsia="宋体" w:cs="宋体"/>
          <w:color w:val="666666"/>
          <w:u w:val="single"/>
          <w:shd w:val="clear" w:color="auto" w:fill="FFFFFF"/>
        </w:rPr>
        <w:t>叁拾陆万叁仟贰佰叁拾元整</w:t>
      </w:r>
      <w:r>
        <w:rPr>
          <w:rFonts w:hint="eastAsia" w:ascii="宋体" w:eastAsia="宋体" w:cs="宋体"/>
          <w:color w:val="666666"/>
          <w:shd w:val="clear" w:color="auto" w:fill="FFFFFF"/>
        </w:rPr>
        <w:t>），高于或等于招标控制价的为无效报价，最低价中标。投标报价保留两位小数，否则为无效报价，作废标处理。</w:t>
      </w:r>
    </w:p>
    <w:p w14:paraId="1157A26A">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7.报价费用说明：</w:t>
      </w:r>
    </w:p>
    <w:p w14:paraId="048BFB6E">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（1）本项目采取固定单价报价，各报价人需考虑投标时每项的分项综合单价报价与分项最高限价相比的下浮率必须一致。</w:t>
      </w:r>
    </w:p>
    <w:p w14:paraId="25F12BB0">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105E1D03">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3）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D1C703E">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各供应商在报价时请充分考虑各种因素。</w:t>
      </w:r>
    </w:p>
    <w:p w14:paraId="1E961138">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8.付款方式：</w:t>
      </w:r>
    </w:p>
    <w:p w14:paraId="0434EB2E">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（1）采购资金的支付方式：银行转账，由采购人按相关财务支付规定办理支付手续。</w:t>
      </w:r>
    </w:p>
    <w:p w14:paraId="3FA04355">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（2）采购资金的支付时间、条件：</w:t>
      </w:r>
    </w:p>
    <w:p w14:paraId="1D0A597E">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本次采购量为预估量，最终结算按每次实际采购量计，每次供货完毕并经验收合格后，采购人通知并收到成交供应商相应的增值税专用发票后30天内支付该批订单的80%货款。尾款在质保期后收到成交供应商相应的增值税专用发票后一次性付清。</w:t>
      </w:r>
    </w:p>
    <w:p w14:paraId="4F6C5F82">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9.验收要求：中标人签订合同后在招标人规定的时间内，必须将符合招标文件要求的所有合格货物送到指定地点，由采购人相关人员对所供货物进行外观和数量清点，由采购人相关人员委托第三方检测机构现场抽样送检（检测费用由供应商承担）。如抽检过程中中标人不能到场配合的，将视采购人为其委托单位配合抽检，并在相关文书签字确认。</w:t>
      </w:r>
    </w:p>
    <w:p w14:paraId="56CAA029">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10.售后服务要求：供应商报价时须承诺所供货物的免费质保期为壹年（含)以上（原厂质保期高于供应商承诺质保期的，按原厂质保期计算。自验收合格报告签字确认日起，开始进入质保期）。质保期内，因供货方所供货物的制造质量出现问题，供货方在接采购方通知后12小时内，情况紧急时8小时内,派人员赶到采购方现场，免费排除问题。如供货方逾期不予答复和处理，则视为采购方上述要求已被接受。供货方应承担采购方自行补救而发生的一切损失和费用，采购方有权在保证金中直接扣除。如保证金不够支持本次损失费用，采购方有权向供货方索赔，且视质量引起出现问题造成的严重负面影响的将列入黑名单，不得再参与启东市吕四自来水厂有限公司的采购项目。</w:t>
      </w:r>
    </w:p>
    <w:p w14:paraId="3443591F">
      <w:pPr>
        <w:pStyle w:val="14"/>
        <w:shd w:val="clear" w:color="auto" w:fill="FFFFFF"/>
        <w:spacing w:before="0" w:beforeAutospacing="0" w:after="0" w:afterAutospacing="0" w:line="360" w:lineRule="atLeast"/>
        <w:ind w:firstLine="480"/>
        <w:jc w:val="both"/>
        <w:rPr>
          <w:rFonts w:ascii="宋体" w:eastAsia="宋体" w:cs="宋体"/>
          <w:color w:val="666666"/>
        </w:rPr>
      </w:pPr>
      <w:r>
        <w:rPr>
          <w:rFonts w:hint="eastAsia" w:ascii="宋体" w:eastAsia="宋体" w:cs="宋体"/>
          <w:color w:val="666666"/>
          <w:shd w:val="clear" w:color="auto" w:fill="FFFFFF"/>
        </w:rPr>
        <w:t>11.其他：（1）请报价单位认真核算、如实报价，如发现虚假报价的，该单位今后将记入采购人招标市场的黑名单；（2）符合采购需求且总报价最低者成交。若报价最低者有相同时，则通过抽签方式确定成交供应商。（3）投标人不足三家或经评审有效投标人不足三家的，将组织重新招标。（4）当成交供应商放弃成交、因不可抗力不能履行合同、不按照询价文件要求提交履约保证金，或者被查实存在影响成交结果的违法行为等情形，不符合成交条件的，采购人可依法重新招标。（5）合同期限:自合同签订之日起壹年或采购金额满合同价后合同终止。</w:t>
      </w:r>
    </w:p>
    <w:p w14:paraId="266508F1">
      <w:pPr>
        <w:spacing w:line="400" w:lineRule="exact"/>
        <w:jc w:val="right"/>
        <w:rPr>
          <w:rStyle w:val="21"/>
          <w:rFonts w:ascii="宋体" w:hAnsi="宋体" w:cs="宋体"/>
          <w:kern w:val="0"/>
          <w:sz w:val="24"/>
          <w:szCs w:val="24"/>
        </w:rPr>
      </w:pPr>
    </w:p>
    <w:p w14:paraId="45AD619A">
      <w:pPr>
        <w:spacing w:line="360" w:lineRule="auto"/>
        <w:jc w:val="right"/>
        <w:rPr>
          <w:rFonts w:ascii="宋体" w:cs="宋体"/>
          <w:sz w:val="24"/>
          <w:szCs w:val="24"/>
        </w:rPr>
      </w:pPr>
      <w:r>
        <w:rPr>
          <w:rFonts w:hint="eastAsia" w:ascii="宋体" w:cs="宋体"/>
          <w:sz w:val="24"/>
          <w:szCs w:val="24"/>
        </w:rPr>
        <w:t>启东市吕四自来水厂有限公司</w:t>
      </w:r>
    </w:p>
    <w:p w14:paraId="00132319">
      <w:pPr>
        <w:spacing w:line="360" w:lineRule="auto"/>
        <w:jc w:val="right"/>
        <w:rPr>
          <w:rStyle w:val="21"/>
          <w:rFonts w:ascii="宋体" w:hAnsi="宋体" w:cs="宋体"/>
          <w:kern w:val="0"/>
          <w:sz w:val="24"/>
          <w:szCs w:val="24"/>
        </w:rPr>
      </w:pPr>
      <w:r>
        <w:rPr>
          <w:rStyle w:val="21"/>
          <w:rFonts w:hint="eastAsia" w:ascii="宋体" w:hAnsi="宋体" w:cs="宋体"/>
          <w:kern w:val="0"/>
          <w:sz w:val="24"/>
          <w:szCs w:val="24"/>
        </w:rPr>
        <w:t>2025年6月3日</w:t>
      </w:r>
    </w:p>
    <w:p w14:paraId="488DCFB3">
      <w:pPr>
        <w:rPr>
          <w:rFonts w:ascii="宋体" w:cs="宋体"/>
          <w:b/>
          <w:kern w:val="0"/>
          <w:sz w:val="24"/>
          <w:szCs w:val="24"/>
        </w:rPr>
      </w:pPr>
    </w:p>
    <w:p w14:paraId="4ECC78D0">
      <w:pPr>
        <w:rPr>
          <w:rFonts w:ascii="宋体" w:eastAsia="宋体" w:cs="宋体"/>
          <w:b/>
          <w:kern w:val="0"/>
          <w:sz w:val="28"/>
          <w:szCs w:val="28"/>
        </w:rPr>
      </w:pPr>
    </w:p>
    <w:p w14:paraId="1C59A0E8">
      <w:pPr>
        <w:pStyle w:val="2"/>
        <w:rPr>
          <w:rFonts w:ascii="宋体" w:cs="宋体"/>
          <w:b/>
          <w:sz w:val="28"/>
          <w:szCs w:val="28"/>
        </w:rPr>
      </w:pPr>
      <w:r>
        <w:rPr>
          <w:rFonts w:hint="eastAsia" w:ascii="宋体" w:cs="宋体"/>
          <w:b/>
          <w:sz w:val="28"/>
          <w:szCs w:val="28"/>
        </w:rPr>
        <w:t>附件：</w:t>
      </w:r>
    </w:p>
    <w:tbl>
      <w:tblPr>
        <w:tblStyle w:val="17"/>
        <w:tblW w:w="0" w:type="auto"/>
        <w:tblInd w:w="-2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3"/>
        <w:gridCol w:w="172"/>
        <w:gridCol w:w="1941"/>
        <w:gridCol w:w="264"/>
        <w:gridCol w:w="224"/>
        <w:gridCol w:w="706"/>
        <w:gridCol w:w="870"/>
        <w:gridCol w:w="825"/>
        <w:gridCol w:w="1605"/>
        <w:gridCol w:w="1696"/>
        <w:gridCol w:w="1566"/>
      </w:tblGrid>
      <w:tr w14:paraId="17FBE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0192" w:type="dxa"/>
            <w:gridSpan w:val="11"/>
            <w:tcBorders>
              <w:top w:val="nil"/>
              <w:left w:val="nil"/>
              <w:bottom w:val="nil"/>
              <w:right w:val="nil"/>
            </w:tcBorders>
            <w:shd w:val="clear" w:color="auto" w:fill="auto"/>
            <w:vAlign w:val="center"/>
          </w:tcPr>
          <w:p w14:paraId="79F3F50B">
            <w:pPr>
              <w:widowControl/>
              <w:jc w:val="center"/>
              <w:textAlignment w:val="center"/>
              <w:rPr>
                <w:rFonts w:ascii="宋体" w:eastAsia="宋体" w:cs="宋体"/>
                <w:b/>
                <w:bCs/>
                <w:color w:val="000000"/>
                <w:sz w:val="28"/>
                <w:szCs w:val="28"/>
              </w:rPr>
            </w:pPr>
            <w:r>
              <w:rPr>
                <w:rFonts w:hint="eastAsia" w:ascii="宋体" w:eastAsia="宋体"/>
                <w:b/>
                <w:bCs/>
                <w:sz w:val="28"/>
                <w:szCs w:val="28"/>
              </w:rPr>
              <w:t>启东市吕四自来水厂有限公司倒流防止器2025-2026年度采购项目报价清单</w:t>
            </w:r>
          </w:p>
        </w:tc>
      </w:tr>
      <w:tr w14:paraId="36F2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F948B">
            <w:pPr>
              <w:widowControl/>
              <w:jc w:val="center"/>
              <w:textAlignment w:val="center"/>
              <w:rPr>
                <w:rFonts w:ascii="宋体" w:eastAsia="宋体" w:cs="宋体"/>
                <w:b/>
                <w:bCs/>
                <w:color w:val="000000"/>
                <w:sz w:val="24"/>
                <w:szCs w:val="24"/>
              </w:rPr>
            </w:pPr>
            <w:r>
              <w:rPr>
                <w:rFonts w:hint="eastAsia" w:ascii="宋体" w:eastAsia="宋体" w:cs="宋体"/>
                <w:b/>
                <w:bCs/>
                <w:color w:val="000000"/>
                <w:kern w:val="0"/>
                <w:sz w:val="24"/>
                <w:szCs w:val="24"/>
              </w:rPr>
              <w:t>序号</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9EFE7">
            <w:pPr>
              <w:widowControl/>
              <w:jc w:val="center"/>
              <w:textAlignment w:val="center"/>
              <w:rPr>
                <w:rFonts w:ascii="宋体" w:eastAsia="宋体" w:cs="宋体"/>
                <w:b/>
                <w:bCs/>
                <w:color w:val="000000"/>
                <w:sz w:val="24"/>
                <w:szCs w:val="24"/>
              </w:rPr>
            </w:pPr>
            <w:r>
              <w:rPr>
                <w:rFonts w:hint="eastAsia" w:ascii="宋体" w:eastAsia="宋体" w:cs="宋体"/>
                <w:b/>
                <w:bCs/>
                <w:color w:val="000000"/>
                <w:kern w:val="0"/>
                <w:sz w:val="24"/>
                <w:szCs w:val="24"/>
              </w:rPr>
              <w:t>材料名称</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22F6">
            <w:pPr>
              <w:widowControl/>
              <w:jc w:val="center"/>
              <w:textAlignment w:val="center"/>
              <w:rPr>
                <w:rFonts w:ascii="宋体" w:eastAsia="宋体" w:cs="宋体"/>
                <w:b/>
                <w:bCs/>
                <w:color w:val="000000"/>
                <w:sz w:val="24"/>
                <w:szCs w:val="24"/>
              </w:rPr>
            </w:pPr>
            <w:r>
              <w:rPr>
                <w:rFonts w:hint="eastAsia" w:ascii="宋体" w:eastAsia="宋体" w:cs="宋体"/>
                <w:b/>
                <w:bCs/>
                <w:color w:val="000000"/>
                <w:kern w:val="0"/>
                <w:sz w:val="24"/>
                <w:szCs w:val="24"/>
              </w:rPr>
              <w:t>规格/型号</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5B1F">
            <w:pPr>
              <w:widowControl/>
              <w:jc w:val="center"/>
              <w:textAlignment w:val="center"/>
              <w:rPr>
                <w:rFonts w:ascii="宋体" w:eastAsia="宋体" w:cs="宋体"/>
                <w:b/>
                <w:bCs/>
                <w:color w:val="000000"/>
                <w:sz w:val="24"/>
                <w:szCs w:val="24"/>
              </w:rPr>
            </w:pPr>
            <w:r>
              <w:rPr>
                <w:rFonts w:hint="eastAsia" w:ascii="宋体" w:eastAsia="宋体" w:cs="宋体"/>
                <w:b/>
                <w:bCs/>
                <w:color w:val="000000"/>
                <w:kern w:val="0"/>
                <w:sz w:val="24"/>
                <w:szCs w:val="24"/>
              </w:rPr>
              <w:t>计量单位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235D">
            <w:pPr>
              <w:widowControl/>
              <w:jc w:val="center"/>
              <w:textAlignment w:val="center"/>
              <w:rPr>
                <w:rFonts w:ascii="宋体" w:eastAsia="宋体" w:cs="宋体"/>
                <w:b/>
                <w:bCs/>
                <w:color w:val="000000"/>
                <w:sz w:val="24"/>
                <w:szCs w:val="24"/>
              </w:rPr>
            </w:pPr>
            <w:r>
              <w:rPr>
                <w:rFonts w:hint="eastAsia" w:ascii="宋体" w:eastAsia="宋体" w:cs="宋体"/>
                <w:b/>
                <w:bCs/>
                <w:color w:val="000000"/>
                <w:kern w:val="0"/>
                <w:sz w:val="24"/>
                <w:szCs w:val="24"/>
              </w:rPr>
              <w:t>预估用量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BBC5">
            <w:pPr>
              <w:widowControl/>
              <w:jc w:val="center"/>
              <w:textAlignment w:val="center"/>
              <w:rPr>
                <w:rFonts w:ascii="宋体" w:eastAsia="宋体" w:cs="宋体"/>
                <w:b/>
                <w:bCs/>
                <w:color w:val="000000"/>
                <w:sz w:val="24"/>
                <w:szCs w:val="24"/>
              </w:rPr>
            </w:pPr>
            <w:r>
              <w:rPr>
                <w:rFonts w:hint="eastAsia" w:ascii="宋体" w:eastAsia="宋体" w:cs="宋体"/>
                <w:b/>
                <w:bCs/>
                <w:color w:val="000000"/>
                <w:kern w:val="0"/>
                <w:sz w:val="24"/>
                <w:szCs w:val="24"/>
              </w:rPr>
              <w:t>单 价        （元/只）</w:t>
            </w:r>
          </w:p>
        </w:tc>
        <w:tc>
          <w:tcPr>
            <w:tcW w:w="1696" w:type="dxa"/>
            <w:tcBorders>
              <w:top w:val="single" w:color="000000" w:sz="4" w:space="0"/>
              <w:left w:val="single" w:color="000000" w:sz="4" w:space="0"/>
              <w:bottom w:val="single" w:color="000000" w:sz="4" w:space="0"/>
              <w:right w:val="nil"/>
            </w:tcBorders>
            <w:shd w:val="clear" w:color="auto" w:fill="auto"/>
            <w:vAlign w:val="center"/>
          </w:tcPr>
          <w:p w14:paraId="30270C84">
            <w:pPr>
              <w:widowControl/>
              <w:jc w:val="center"/>
              <w:textAlignment w:val="center"/>
              <w:rPr>
                <w:rFonts w:ascii="宋体" w:eastAsia="宋体" w:cs="宋体"/>
                <w:b/>
                <w:bCs/>
                <w:color w:val="000000"/>
                <w:sz w:val="24"/>
                <w:szCs w:val="24"/>
              </w:rPr>
            </w:pPr>
            <w:r>
              <w:rPr>
                <w:rFonts w:hint="eastAsia" w:ascii="宋体" w:eastAsia="宋体" w:cs="宋体"/>
                <w:b/>
                <w:bCs/>
                <w:color w:val="000000"/>
                <w:kern w:val="0"/>
                <w:sz w:val="24"/>
                <w:szCs w:val="24"/>
              </w:rPr>
              <w:t>合 计               （元）</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F901">
            <w:pPr>
              <w:widowControl/>
              <w:jc w:val="center"/>
              <w:textAlignment w:val="center"/>
              <w:rPr>
                <w:rFonts w:ascii="宋体" w:eastAsia="宋体" w:cs="宋体"/>
                <w:b/>
                <w:bCs/>
                <w:color w:val="000000"/>
                <w:sz w:val="24"/>
                <w:szCs w:val="24"/>
              </w:rPr>
            </w:pPr>
            <w:r>
              <w:rPr>
                <w:rFonts w:hint="eastAsia" w:ascii="宋体" w:eastAsia="宋体" w:cs="宋体"/>
                <w:b/>
                <w:bCs/>
                <w:color w:val="000000"/>
                <w:kern w:val="0"/>
                <w:sz w:val="24"/>
                <w:szCs w:val="24"/>
              </w:rPr>
              <w:t>备  注</w:t>
            </w:r>
          </w:p>
        </w:tc>
      </w:tr>
      <w:tr w14:paraId="26D6C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3784">
            <w:pPr>
              <w:widowControl/>
              <w:jc w:val="center"/>
              <w:textAlignment w:val="center"/>
              <w:rPr>
                <w:rFonts w:ascii="宋体" w:eastAsia="宋体" w:cs="宋体"/>
                <w:color w:val="000000"/>
                <w:sz w:val="22"/>
              </w:rPr>
            </w:pPr>
            <w:r>
              <w:rPr>
                <w:rFonts w:hint="eastAsia" w:ascii="宋体" w:eastAsia="宋体" w:cs="宋体"/>
                <w:color w:val="000000"/>
                <w:kern w:val="0"/>
                <w:sz w:val="22"/>
              </w:rPr>
              <w:t>1</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976B63">
            <w:pPr>
              <w:widowControl/>
              <w:jc w:val="center"/>
              <w:textAlignment w:val="center"/>
              <w:rPr>
                <w:rFonts w:ascii="宋体" w:eastAsia="宋体" w:cs="宋体"/>
                <w:color w:val="000000"/>
                <w:sz w:val="22"/>
              </w:rPr>
            </w:pPr>
            <w:r>
              <w:rPr>
                <w:rFonts w:hint="eastAsia" w:ascii="宋体" w:eastAsia="宋体" w:cs="宋体"/>
                <w:color w:val="000000"/>
                <w:kern w:val="0"/>
                <w:sz w:val="22"/>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42B0D">
            <w:pPr>
              <w:widowControl/>
              <w:jc w:val="center"/>
              <w:textAlignment w:val="center"/>
              <w:rPr>
                <w:rFonts w:ascii="宋体" w:eastAsia="宋体" w:cs="宋体"/>
                <w:color w:val="000000"/>
                <w:sz w:val="22"/>
              </w:rPr>
            </w:pPr>
            <w:r>
              <w:rPr>
                <w:rFonts w:hint="eastAsia" w:ascii="宋体" w:eastAsia="宋体" w:cs="宋体"/>
                <w:color w:val="000000"/>
                <w:kern w:val="0"/>
                <w:sz w:val="22"/>
              </w:rPr>
              <w:t>DN100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189EE">
            <w:pPr>
              <w:widowControl/>
              <w:jc w:val="center"/>
              <w:textAlignment w:val="center"/>
              <w:rPr>
                <w:rFonts w:ascii="宋体" w:eastAsia="宋体" w:cs="宋体"/>
                <w:color w:val="000000"/>
                <w:sz w:val="22"/>
              </w:rPr>
            </w:pPr>
            <w:r>
              <w:rPr>
                <w:rFonts w:hint="eastAsia" w:ascii="宋体" w:eastAsia="宋体" w:cs="宋体"/>
                <w:color w:val="000000"/>
                <w:kern w:val="0"/>
                <w:sz w:val="22"/>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AD90">
            <w:pPr>
              <w:widowControl/>
              <w:jc w:val="center"/>
              <w:textAlignment w:val="center"/>
              <w:rPr>
                <w:rFonts w:ascii="宋体" w:eastAsia="宋体" w:cs="宋体"/>
                <w:color w:val="000000"/>
                <w:sz w:val="22"/>
              </w:rPr>
            </w:pPr>
            <w:r>
              <w:rPr>
                <w:rFonts w:hint="eastAsia" w:ascii="宋体" w:eastAsia="宋体" w:cs="宋体"/>
                <w:color w:val="000000"/>
                <w:kern w:val="0"/>
                <w:sz w:val="22"/>
              </w:rPr>
              <w:t>30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1CE8">
            <w:pPr>
              <w:jc w:val="center"/>
              <w:rPr>
                <w:rFonts w:ascii="宋体" w:eastAsia="宋体" w:cs="宋体"/>
                <w:color w:val="000000"/>
                <w:sz w:val="22"/>
              </w:rPr>
            </w:pPr>
            <w:r>
              <w:rPr>
                <w:rFonts w:hint="eastAsia" w:ascii="宋体" w:eastAsia="宋体" w:cs="宋体"/>
                <w:color w:val="000000"/>
                <w:sz w:val="22"/>
              </w:rPr>
              <w:t>5696</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18D0">
            <w:pPr>
              <w:jc w:val="center"/>
              <w:rPr>
                <w:rFonts w:ascii="宋体" w:eastAsia="宋体" w:cs="宋体"/>
                <w:b/>
                <w:bCs/>
                <w:color w:val="000000"/>
                <w:sz w:val="22"/>
              </w:rPr>
            </w:pPr>
            <w:r>
              <w:rPr>
                <w:rFonts w:hint="eastAsia" w:ascii="宋体" w:eastAsia="宋体" w:cs="宋体"/>
                <w:color w:val="000000"/>
                <w:sz w:val="22"/>
              </w:rPr>
              <w:t>170880.00</w:t>
            </w:r>
          </w:p>
        </w:tc>
        <w:tc>
          <w:tcPr>
            <w:tcW w:w="1566" w:type="dxa"/>
            <w:vMerge w:val="restart"/>
            <w:tcBorders>
              <w:top w:val="single" w:color="000000" w:sz="4" w:space="0"/>
              <w:left w:val="single" w:color="000000" w:sz="4" w:space="0"/>
              <w:bottom w:val="nil"/>
              <w:right w:val="single" w:color="000000" w:sz="4" w:space="0"/>
            </w:tcBorders>
            <w:shd w:val="clear" w:color="auto" w:fill="auto"/>
            <w:vAlign w:val="center"/>
          </w:tcPr>
          <w:p w14:paraId="3B86957E">
            <w:pPr>
              <w:widowControl/>
              <w:jc w:val="center"/>
              <w:textAlignment w:val="center"/>
              <w:rPr>
                <w:rFonts w:ascii="宋体" w:eastAsia="宋体" w:cs="宋体"/>
                <w:color w:val="000000"/>
                <w:sz w:val="22"/>
              </w:rPr>
            </w:pPr>
            <w:r>
              <w:rPr>
                <w:rFonts w:hint="eastAsia" w:ascii="宋体" w:eastAsia="宋体" w:cs="宋体"/>
                <w:color w:val="000000"/>
                <w:kern w:val="0"/>
                <w:sz w:val="22"/>
              </w:rPr>
              <w:t>含13%增值税、含运费、含卸货费等全部费用</w:t>
            </w:r>
          </w:p>
        </w:tc>
      </w:tr>
      <w:tr w14:paraId="439C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6FA3">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706846">
            <w:pPr>
              <w:widowControl/>
              <w:jc w:val="center"/>
              <w:textAlignment w:val="center"/>
              <w:rPr>
                <w:rFonts w:ascii="宋体" w:eastAsia="宋体" w:cs="宋体"/>
                <w:color w:val="000000"/>
                <w:sz w:val="22"/>
              </w:rPr>
            </w:pPr>
            <w:r>
              <w:rPr>
                <w:rFonts w:hint="eastAsia" w:ascii="宋体" w:eastAsia="宋体" w:cs="宋体"/>
                <w:color w:val="000000"/>
                <w:kern w:val="0"/>
                <w:sz w:val="22"/>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95CDF5">
            <w:pPr>
              <w:widowControl/>
              <w:jc w:val="center"/>
              <w:textAlignment w:val="center"/>
              <w:rPr>
                <w:rFonts w:ascii="宋体" w:eastAsia="宋体" w:cs="宋体"/>
                <w:color w:val="000000"/>
                <w:sz w:val="22"/>
              </w:rPr>
            </w:pPr>
            <w:r>
              <w:rPr>
                <w:rFonts w:hint="eastAsia" w:ascii="宋体" w:eastAsia="宋体" w:cs="宋体"/>
                <w:color w:val="000000"/>
                <w:sz w:val="22"/>
              </w:rPr>
              <w:t>DN150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B5480">
            <w:pPr>
              <w:widowControl/>
              <w:jc w:val="center"/>
              <w:textAlignment w:val="center"/>
              <w:rPr>
                <w:rFonts w:ascii="宋体" w:eastAsia="宋体" w:cs="宋体"/>
                <w:color w:val="000000"/>
                <w:sz w:val="22"/>
              </w:rPr>
            </w:pPr>
            <w:r>
              <w:rPr>
                <w:rFonts w:hint="eastAsia" w:ascii="宋体" w:eastAsia="宋体" w:cs="宋体"/>
                <w:color w:val="000000"/>
                <w:kern w:val="0"/>
                <w:sz w:val="22"/>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7FFB">
            <w:pPr>
              <w:widowControl/>
              <w:jc w:val="center"/>
              <w:textAlignment w:val="center"/>
              <w:rPr>
                <w:rFonts w:ascii="宋体" w:eastAsia="宋体" w:cs="宋体"/>
                <w:color w:val="000000"/>
                <w:sz w:val="22"/>
              </w:rPr>
            </w:pPr>
            <w:r>
              <w:rPr>
                <w:rFonts w:hint="eastAsia" w:ascii="宋体" w:eastAsia="宋体" w:cs="宋体"/>
                <w:color w:val="000000"/>
                <w:sz w:val="22"/>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9503">
            <w:pPr>
              <w:jc w:val="center"/>
              <w:rPr>
                <w:rFonts w:ascii="宋体" w:eastAsia="宋体" w:cs="宋体"/>
                <w:color w:val="000000"/>
                <w:sz w:val="22"/>
              </w:rPr>
            </w:pPr>
            <w:r>
              <w:rPr>
                <w:rFonts w:hint="eastAsia" w:ascii="宋体" w:eastAsia="宋体" w:cs="宋体"/>
                <w:color w:val="000000"/>
                <w:sz w:val="22"/>
              </w:rPr>
              <w:t>7955</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31FB">
            <w:pPr>
              <w:jc w:val="center"/>
              <w:rPr>
                <w:rFonts w:ascii="宋体" w:eastAsia="宋体" w:cs="宋体"/>
                <w:color w:val="000000"/>
                <w:sz w:val="22"/>
              </w:rPr>
            </w:pPr>
            <w:r>
              <w:rPr>
                <w:rFonts w:hint="eastAsia" w:ascii="宋体" w:eastAsia="宋体" w:cs="宋体"/>
                <w:color w:val="000000"/>
                <w:sz w:val="22"/>
              </w:rPr>
              <w:t>15910.00</w:t>
            </w: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3C692235"/>
        </w:tc>
      </w:tr>
      <w:tr w14:paraId="74693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546BA">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3</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B94E82">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E506BB">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DN200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2E3CC">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0E31C">
            <w:pPr>
              <w:widowControl/>
              <w:jc w:val="center"/>
              <w:textAlignment w:val="center"/>
              <w:rPr>
                <w:rFonts w:ascii="宋体" w:eastAsia="宋体" w:cs="宋体"/>
                <w:color w:val="000000"/>
                <w:sz w:val="22"/>
              </w:rPr>
            </w:pPr>
            <w:r>
              <w:rPr>
                <w:rFonts w:hint="eastAsia" w:ascii="宋体" w:eastAsia="宋体" w:cs="宋体"/>
                <w:color w:val="000000"/>
                <w:sz w:val="22"/>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216D">
            <w:pPr>
              <w:jc w:val="center"/>
              <w:rPr>
                <w:rFonts w:ascii="宋体" w:eastAsia="宋体" w:cs="宋体"/>
                <w:color w:val="000000"/>
                <w:sz w:val="22"/>
              </w:rPr>
            </w:pPr>
            <w:r>
              <w:rPr>
                <w:rFonts w:hint="eastAsia" w:ascii="宋体" w:eastAsia="宋体" w:cs="宋体"/>
                <w:color w:val="000000"/>
                <w:sz w:val="22"/>
              </w:rPr>
              <w:t>11932</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3E4F">
            <w:pPr>
              <w:jc w:val="center"/>
              <w:rPr>
                <w:rFonts w:ascii="宋体" w:eastAsia="宋体" w:cs="宋体"/>
                <w:color w:val="000000"/>
                <w:sz w:val="22"/>
              </w:rPr>
            </w:pPr>
            <w:r>
              <w:rPr>
                <w:rFonts w:hint="eastAsia" w:ascii="宋体" w:eastAsia="宋体" w:cs="宋体"/>
                <w:color w:val="000000"/>
                <w:sz w:val="22"/>
              </w:rPr>
              <w:t>119320.00</w:t>
            </w: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472588B5"/>
        </w:tc>
      </w:tr>
      <w:tr w14:paraId="52B08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3C29">
            <w:pPr>
              <w:widowControl/>
              <w:jc w:val="center"/>
              <w:textAlignment w:val="center"/>
              <w:rPr>
                <w:rFonts w:ascii="宋体" w:eastAsia="宋体" w:cs="宋体"/>
                <w:color w:val="000000"/>
                <w:sz w:val="22"/>
              </w:rPr>
            </w:pPr>
            <w:r>
              <w:rPr>
                <w:rFonts w:hint="eastAsia" w:ascii="宋体" w:eastAsia="宋体" w:cs="宋体"/>
                <w:color w:val="000000"/>
                <w:kern w:val="0"/>
                <w:sz w:val="22"/>
              </w:rPr>
              <w:t>4</w:t>
            </w:r>
          </w:p>
        </w:tc>
        <w:tc>
          <w:tcPr>
            <w:tcW w:w="220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31C1E">
            <w:pPr>
              <w:widowControl/>
              <w:jc w:val="center"/>
              <w:textAlignment w:val="center"/>
              <w:rPr>
                <w:rFonts w:ascii="宋体" w:eastAsia="宋体" w:cs="宋体"/>
                <w:color w:val="000000"/>
                <w:sz w:val="22"/>
              </w:rPr>
            </w:pPr>
            <w:r>
              <w:rPr>
                <w:rFonts w:hint="eastAsia" w:ascii="宋体" w:eastAsia="宋体" w:cs="宋体"/>
                <w:color w:val="000000"/>
                <w:kern w:val="0"/>
                <w:sz w:val="22"/>
              </w:rPr>
              <w:t>低阻力倒流防止器</w:t>
            </w:r>
          </w:p>
        </w:tc>
        <w:tc>
          <w:tcPr>
            <w:tcW w:w="93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C4CF22">
            <w:pPr>
              <w:widowControl/>
              <w:jc w:val="center"/>
              <w:textAlignment w:val="center"/>
              <w:rPr>
                <w:rFonts w:ascii="宋体" w:eastAsia="宋体" w:cs="宋体"/>
                <w:color w:val="000000"/>
                <w:sz w:val="22"/>
              </w:rPr>
            </w:pPr>
            <w:r>
              <w:rPr>
                <w:rFonts w:hint="eastAsia" w:ascii="宋体" w:eastAsia="宋体" w:cs="宋体"/>
                <w:color w:val="000000"/>
                <w:kern w:val="0"/>
                <w:sz w:val="22"/>
              </w:rPr>
              <w:t>DN300</w:t>
            </w:r>
          </w:p>
        </w:tc>
        <w:tc>
          <w:tcPr>
            <w:tcW w:w="8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B2A5">
            <w:pPr>
              <w:widowControl/>
              <w:jc w:val="center"/>
              <w:textAlignment w:val="center"/>
              <w:rPr>
                <w:rFonts w:ascii="宋体" w:eastAsia="宋体" w:cs="宋体"/>
                <w:color w:val="000000"/>
                <w:sz w:val="22"/>
              </w:rPr>
            </w:pPr>
            <w:r>
              <w:rPr>
                <w:rFonts w:hint="eastAsia" w:ascii="宋体" w:eastAsia="宋体" w:cs="宋体"/>
                <w:color w:val="000000"/>
                <w:kern w:val="0"/>
                <w:sz w:val="22"/>
              </w:rPr>
              <w:t>只</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9F856">
            <w:pPr>
              <w:widowControl/>
              <w:jc w:val="center"/>
              <w:textAlignment w:val="center"/>
              <w:rPr>
                <w:rFonts w:ascii="宋体" w:eastAsia="宋体" w:cs="宋体"/>
                <w:color w:val="000000"/>
                <w:sz w:val="22"/>
              </w:rPr>
            </w:pPr>
            <w:r>
              <w:rPr>
                <w:rFonts w:hint="eastAsia" w:ascii="宋体" w:eastAsia="宋体" w:cs="宋体"/>
                <w:color w:val="000000"/>
                <w:kern w:val="0"/>
                <w:sz w:val="22"/>
              </w:rPr>
              <w:t>2</w:t>
            </w:r>
          </w:p>
        </w:tc>
        <w:tc>
          <w:tcPr>
            <w:tcW w:w="16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A1C5">
            <w:pPr>
              <w:jc w:val="center"/>
              <w:rPr>
                <w:rFonts w:ascii="宋体" w:eastAsia="宋体" w:cs="宋体"/>
                <w:color w:val="000000"/>
                <w:sz w:val="22"/>
              </w:rPr>
            </w:pPr>
            <w:r>
              <w:rPr>
                <w:rFonts w:hint="eastAsia" w:ascii="宋体" w:eastAsia="宋体" w:cs="宋体"/>
                <w:color w:val="000000"/>
                <w:sz w:val="22"/>
              </w:rPr>
              <w:t>28560</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314C">
            <w:pPr>
              <w:jc w:val="center"/>
              <w:rPr>
                <w:rFonts w:ascii="宋体" w:eastAsia="宋体" w:cs="宋体"/>
                <w:color w:val="000000"/>
                <w:sz w:val="22"/>
              </w:rPr>
            </w:pPr>
            <w:r>
              <w:rPr>
                <w:rFonts w:hint="eastAsia" w:ascii="宋体" w:eastAsia="宋体" w:cs="宋体"/>
                <w:color w:val="000000"/>
                <w:sz w:val="22"/>
              </w:rPr>
              <w:t>57120.00</w:t>
            </w:r>
          </w:p>
        </w:tc>
        <w:tc>
          <w:tcPr>
            <w:tcW w:w="1566" w:type="dxa"/>
            <w:vMerge w:val="continue"/>
            <w:tcBorders>
              <w:top w:val="single" w:color="000000" w:sz="4" w:space="0"/>
              <w:left w:val="single" w:color="000000" w:sz="4" w:space="0"/>
              <w:bottom w:val="nil"/>
              <w:right w:val="single" w:color="000000" w:sz="4" w:space="0"/>
            </w:tcBorders>
            <w:shd w:val="clear" w:color="auto" w:fill="auto"/>
            <w:vAlign w:val="center"/>
          </w:tcPr>
          <w:p w14:paraId="0EAAAE70"/>
        </w:tc>
      </w:tr>
      <w:tr w14:paraId="4C09E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363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887C">
            <w:pPr>
              <w:widowControl/>
              <w:jc w:val="center"/>
              <w:textAlignment w:val="center"/>
              <w:rPr>
                <w:rFonts w:ascii="宋体" w:eastAsia="宋体" w:cs="宋体"/>
                <w:b/>
                <w:bCs/>
                <w:color w:val="000000"/>
                <w:sz w:val="24"/>
                <w:szCs w:val="24"/>
              </w:rPr>
            </w:pPr>
            <w:r>
              <w:rPr>
                <w:rFonts w:hint="eastAsia" w:ascii="宋体" w:eastAsia="宋体" w:cs="宋体"/>
                <w:b/>
                <w:bCs/>
                <w:color w:val="000000"/>
                <w:kern w:val="0"/>
                <w:sz w:val="24"/>
                <w:szCs w:val="24"/>
              </w:rPr>
              <w:t>总    价（人民币元）</w:t>
            </w:r>
          </w:p>
        </w:tc>
        <w:tc>
          <w:tcPr>
            <w:tcW w:w="656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6B97">
            <w:pPr>
              <w:widowControl/>
              <w:textAlignment w:val="center"/>
              <w:rPr>
                <w:rFonts w:ascii="宋体" w:eastAsia="宋体" w:cs="宋体"/>
                <w:b/>
                <w:bCs/>
                <w:color w:val="000000"/>
                <w:kern w:val="0"/>
                <w:sz w:val="24"/>
                <w:szCs w:val="24"/>
              </w:rPr>
            </w:pPr>
            <w:r>
              <w:rPr>
                <w:rFonts w:hint="eastAsia" w:ascii="宋体" w:eastAsia="宋体" w:cs="宋体"/>
                <w:b/>
                <w:bCs/>
                <w:color w:val="000000"/>
                <w:kern w:val="0"/>
                <w:sz w:val="24"/>
                <w:szCs w:val="24"/>
              </w:rPr>
              <w:t>大写：</w:t>
            </w:r>
            <w:r>
              <w:rPr>
                <w:rFonts w:hint="eastAsia" w:ascii="宋体" w:eastAsia="宋体" w:cs="宋体"/>
                <w:color w:val="666666"/>
                <w:sz w:val="24"/>
                <w:szCs w:val="24"/>
                <w:shd w:val="clear" w:color="auto" w:fill="FFFFFF"/>
              </w:rPr>
              <w:t>叁拾陆万叁仟贰佰叁拾元整</w:t>
            </w:r>
          </w:p>
          <w:p w14:paraId="2AC8F731">
            <w:pPr>
              <w:widowControl/>
              <w:textAlignment w:val="center"/>
              <w:rPr>
                <w:rFonts w:ascii="宋体" w:eastAsia="宋体" w:cs="宋体"/>
                <w:b/>
                <w:bCs/>
                <w:color w:val="000000"/>
                <w:sz w:val="24"/>
                <w:szCs w:val="24"/>
              </w:rPr>
            </w:pPr>
            <w:r>
              <w:rPr>
                <w:rFonts w:hint="eastAsia" w:ascii="宋体" w:eastAsia="宋体" w:cs="宋体"/>
                <w:b/>
                <w:bCs/>
                <w:color w:val="000000"/>
                <w:kern w:val="0"/>
                <w:sz w:val="24"/>
                <w:szCs w:val="24"/>
              </w:rPr>
              <w:t>小写：</w:t>
            </w:r>
            <w:r>
              <w:rPr>
                <w:rFonts w:hint="eastAsia" w:ascii="宋体" w:eastAsia="宋体" w:cs="宋体"/>
                <w:color w:val="666666"/>
                <w:sz w:val="24"/>
                <w:szCs w:val="24"/>
                <w:shd w:val="clear" w:color="auto" w:fill="FFFFFF"/>
              </w:rPr>
              <w:t>363230.00元</w:t>
            </w:r>
          </w:p>
        </w:tc>
      </w:tr>
      <w:tr w14:paraId="3B5E9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019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6718">
            <w:pPr>
              <w:widowControl/>
              <w:jc w:val="left"/>
              <w:textAlignment w:val="center"/>
              <w:rPr>
                <w:rFonts w:ascii="宋体" w:eastAsia="宋体" w:cs="宋体"/>
                <w:b/>
                <w:bCs/>
                <w:color w:val="000000"/>
                <w:kern w:val="0"/>
                <w:szCs w:val="21"/>
              </w:rPr>
            </w:pPr>
            <w:r>
              <w:rPr>
                <w:rFonts w:hint="eastAsia" w:ascii="宋体" w:eastAsia="宋体" w:cs="宋体"/>
                <w:b/>
                <w:bCs/>
                <w:color w:val="000000"/>
                <w:kern w:val="0"/>
                <w:szCs w:val="21"/>
              </w:rPr>
              <w:t>注：</w:t>
            </w:r>
          </w:p>
          <w:p w14:paraId="377FD33C">
            <w:pPr>
              <w:widowControl/>
              <w:jc w:val="left"/>
              <w:textAlignment w:val="center"/>
              <w:rPr>
                <w:rFonts w:ascii="宋体" w:eastAsia="宋体" w:cs="宋体"/>
                <w:b/>
                <w:bCs/>
                <w:color w:val="000000"/>
                <w:kern w:val="0"/>
                <w:szCs w:val="21"/>
              </w:rPr>
            </w:pPr>
            <w:r>
              <w:rPr>
                <w:rFonts w:hint="eastAsia" w:ascii="宋体" w:eastAsia="宋体" w:cs="宋体"/>
                <w:b/>
                <w:bCs/>
                <w:color w:val="000000"/>
                <w:kern w:val="0"/>
                <w:szCs w:val="21"/>
              </w:rPr>
              <w:t>一、供应商的资格要求</w:t>
            </w:r>
          </w:p>
          <w:p w14:paraId="1A6D6366">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1、符合《中华人民共和国政府采购法》第二十二条规定；</w:t>
            </w:r>
          </w:p>
          <w:p w14:paraId="65AC9231">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2、未被“信用中国”网站列入失信被执行人、重大税收违法案件当事人名单、政府采购严重失信行为记录名单；</w:t>
            </w:r>
          </w:p>
          <w:p w14:paraId="232C61CE">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3、对于参加投标的供应商，须具有合法的营业执照；</w:t>
            </w:r>
          </w:p>
          <w:p w14:paraId="2353F60F">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4、投标人提供自2022年以来的供水企业业绩证明（相对应的合同、发票扫描件，加盖公章）</w:t>
            </w:r>
            <w:r>
              <w:rPr>
                <w:rFonts w:ascii="宋体" w:eastAsia="宋体" w:cs="宋体"/>
                <w:color w:val="000000"/>
                <w:kern w:val="0"/>
                <w:szCs w:val="21"/>
              </w:rPr>
              <w:t>，</w:t>
            </w:r>
            <w:r>
              <w:rPr>
                <w:rFonts w:hint="eastAsia" w:ascii="宋体" w:cs="宋体"/>
                <w:color w:val="000000"/>
                <w:sz w:val="21"/>
                <w:szCs w:val="21"/>
              </w:rPr>
              <w:t>若为经销商的，则需提供品牌厂家</w:t>
            </w:r>
            <w:r>
              <w:rPr>
                <w:rFonts w:ascii="宋体" w:cs="宋体"/>
                <w:color w:val="000000"/>
                <w:sz w:val="21"/>
                <w:szCs w:val="21"/>
              </w:rPr>
              <w:t>业绩证明</w:t>
            </w:r>
            <w:r>
              <w:rPr>
                <w:rFonts w:hint="eastAsia" w:ascii="宋体" w:eastAsia="宋体" w:cs="宋体"/>
                <w:color w:val="000000"/>
                <w:kern w:val="0"/>
                <w:szCs w:val="21"/>
              </w:rPr>
              <w:t xml:space="preserve">。                                                                                                 </w:t>
            </w:r>
          </w:p>
          <w:p w14:paraId="3754724B">
            <w:pPr>
              <w:widowControl/>
              <w:jc w:val="left"/>
              <w:textAlignment w:val="center"/>
              <w:rPr>
                <w:rFonts w:ascii="宋体" w:eastAsia="宋体" w:cs="宋体"/>
                <w:b/>
                <w:bCs/>
                <w:color w:val="000000"/>
                <w:kern w:val="0"/>
                <w:szCs w:val="21"/>
              </w:rPr>
            </w:pPr>
            <w:r>
              <w:rPr>
                <w:rFonts w:hint="eastAsia" w:ascii="宋体" w:eastAsia="宋体" w:cs="宋体"/>
                <w:b/>
                <w:bCs/>
                <w:color w:val="000000"/>
                <w:kern w:val="0"/>
                <w:szCs w:val="21"/>
              </w:rPr>
              <w:t>二、本项目招标不接受联合体投标。</w:t>
            </w:r>
          </w:p>
          <w:p w14:paraId="4314F2BB">
            <w:pPr>
              <w:widowControl/>
              <w:jc w:val="left"/>
              <w:textAlignment w:val="center"/>
              <w:rPr>
                <w:rFonts w:ascii="宋体" w:eastAsia="宋体" w:cs="宋体"/>
                <w:b/>
                <w:bCs/>
                <w:color w:val="000000"/>
                <w:kern w:val="0"/>
                <w:szCs w:val="21"/>
              </w:rPr>
            </w:pPr>
            <w:r>
              <w:rPr>
                <w:rFonts w:hint="eastAsia" w:ascii="宋体" w:eastAsia="宋体" w:cs="宋体"/>
                <w:b/>
                <w:bCs/>
                <w:color w:val="000000"/>
                <w:kern w:val="0"/>
                <w:szCs w:val="21"/>
              </w:rPr>
              <w:t>三、材料标准及要求</w:t>
            </w:r>
          </w:p>
          <w:p w14:paraId="0C2AC4B5">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（一）执行标准</w:t>
            </w:r>
          </w:p>
          <w:p w14:paraId="34987B02">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1．报价产品的质量应符合相关国家或行业标准的要求。</w:t>
            </w:r>
          </w:p>
          <w:p w14:paraId="644032DC">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2．制造厂家提供的产品，包括由其它厂家外购的设备和附件，其设计、制造、检验、检测、包装和运输，在满足以下规范、标准的最新版本及ISO9001质量保证体系的前提下，应满足或高于本招标文件技术要求的规定。如有冲突，按严格的执行。凡本技术要求未特别提及的地方，也应符合中华人民共和国现行的有关国家标准。</w:t>
            </w:r>
          </w:p>
          <w:p w14:paraId="49070392">
            <w:pPr>
              <w:pStyle w:val="2"/>
              <w:rPr>
                <w:rFonts w:hint="eastAsia"/>
              </w:rPr>
            </w:pPr>
            <w:r>
              <w:rPr>
                <w:rFonts w:hint="eastAsia" w:ascii="宋体" w:cs="宋体"/>
                <w:color w:val="000000"/>
                <w:sz w:val="21"/>
                <w:szCs w:val="21"/>
              </w:rPr>
              <w:t>（若为经销商的，则需提供品牌厂家的ISO9001质量管理体系认证证书原件扫描件）。</w:t>
            </w:r>
          </w:p>
          <w:p w14:paraId="6F80C909">
            <w:pPr>
              <w:pStyle w:val="2"/>
              <w:spacing w:after="0"/>
              <w:rPr>
                <w:rFonts w:ascii="宋体" w:cs="宋体"/>
                <w:color w:val="000000"/>
                <w:sz w:val="21"/>
                <w:szCs w:val="21"/>
              </w:rPr>
            </w:pPr>
            <w:r>
              <w:rPr>
                <w:rFonts w:hint="eastAsia" w:ascii="宋体" w:cs="宋体"/>
                <w:color w:val="000000"/>
                <w:sz w:val="21"/>
                <w:szCs w:val="21"/>
              </w:rPr>
              <w:t xml:space="preserve">GB/T 1047-2005　管道元件DN(公称尺寸)的定义和选用 </w:t>
            </w:r>
          </w:p>
          <w:p w14:paraId="38AD0C09">
            <w:pPr>
              <w:pStyle w:val="2"/>
              <w:spacing w:after="0"/>
              <w:rPr>
                <w:rFonts w:ascii="宋体" w:cs="宋体"/>
                <w:color w:val="000000"/>
                <w:sz w:val="21"/>
                <w:szCs w:val="21"/>
              </w:rPr>
            </w:pPr>
            <w:r>
              <w:rPr>
                <w:rFonts w:hint="eastAsia" w:ascii="宋体" w:cs="宋体"/>
                <w:color w:val="000000"/>
                <w:sz w:val="21"/>
                <w:szCs w:val="21"/>
              </w:rPr>
              <w:t>GB/T 1048-2005　管道元件 PN(公称压力)的定义和选用</w:t>
            </w:r>
          </w:p>
          <w:p w14:paraId="1C795812">
            <w:pPr>
              <w:pStyle w:val="2"/>
              <w:spacing w:after="0"/>
              <w:rPr>
                <w:rFonts w:ascii="宋体" w:cs="宋体"/>
                <w:color w:val="000000"/>
                <w:sz w:val="21"/>
                <w:szCs w:val="21"/>
              </w:rPr>
            </w:pPr>
            <w:r>
              <w:rPr>
                <w:rFonts w:hint="eastAsia" w:ascii="宋体" w:cs="宋体"/>
                <w:color w:val="000000"/>
                <w:sz w:val="21"/>
                <w:szCs w:val="21"/>
              </w:rPr>
              <w:t>GB/T 9969.1-1998　工业产品使用说明书　总则</w:t>
            </w:r>
          </w:p>
          <w:p w14:paraId="7976E5EB">
            <w:pPr>
              <w:pStyle w:val="2"/>
              <w:spacing w:after="0"/>
              <w:rPr>
                <w:rFonts w:ascii="宋体" w:cs="宋体"/>
                <w:color w:val="000000"/>
                <w:sz w:val="21"/>
                <w:szCs w:val="21"/>
              </w:rPr>
            </w:pPr>
            <w:r>
              <w:rPr>
                <w:rFonts w:hint="eastAsia" w:ascii="宋体" w:cs="宋体"/>
                <w:color w:val="000000"/>
                <w:sz w:val="21"/>
                <w:szCs w:val="21"/>
              </w:rPr>
              <w:t>GB/T 12225-2005　通用阀门 铜合金铸件技术条件</w:t>
            </w:r>
          </w:p>
          <w:p w14:paraId="2B6A24FD">
            <w:pPr>
              <w:pStyle w:val="2"/>
              <w:spacing w:after="0"/>
              <w:rPr>
                <w:rFonts w:ascii="宋体" w:cs="宋体"/>
                <w:color w:val="000000"/>
                <w:sz w:val="21"/>
                <w:szCs w:val="21"/>
              </w:rPr>
            </w:pPr>
            <w:r>
              <w:rPr>
                <w:rFonts w:hint="eastAsia" w:ascii="宋体" w:cs="宋体"/>
                <w:color w:val="000000"/>
                <w:sz w:val="21"/>
                <w:szCs w:val="21"/>
              </w:rPr>
              <w:t>GB/T 12226-2005　通用阀门 灰铸铁件技术条件</w:t>
            </w:r>
          </w:p>
          <w:p w14:paraId="76BF9CBE">
            <w:pPr>
              <w:pStyle w:val="2"/>
              <w:spacing w:after="0"/>
              <w:rPr>
                <w:rFonts w:ascii="宋体" w:cs="宋体"/>
                <w:color w:val="000000"/>
                <w:sz w:val="21"/>
                <w:szCs w:val="21"/>
              </w:rPr>
            </w:pPr>
            <w:r>
              <w:rPr>
                <w:rFonts w:hint="eastAsia" w:ascii="宋体" w:cs="宋体"/>
                <w:color w:val="000000"/>
                <w:sz w:val="21"/>
                <w:szCs w:val="21"/>
              </w:rPr>
              <w:t>GB/T 12227-2005　通用阀门 球墨铸铁件技术条件</w:t>
            </w:r>
          </w:p>
          <w:p w14:paraId="0CD2A515">
            <w:pPr>
              <w:pStyle w:val="2"/>
              <w:spacing w:after="0"/>
              <w:rPr>
                <w:rFonts w:ascii="宋体" w:cs="宋体"/>
                <w:color w:val="000000"/>
                <w:sz w:val="21"/>
                <w:szCs w:val="21"/>
              </w:rPr>
            </w:pPr>
            <w:r>
              <w:rPr>
                <w:rFonts w:hint="eastAsia" w:ascii="宋体" w:cs="宋体"/>
                <w:color w:val="000000"/>
                <w:sz w:val="21"/>
                <w:szCs w:val="21"/>
              </w:rPr>
              <w:t>GB/T 12229-2005　通用阀门 碳素钢铸件技术条件</w:t>
            </w:r>
          </w:p>
          <w:p w14:paraId="43DFA164">
            <w:pPr>
              <w:pStyle w:val="2"/>
              <w:spacing w:after="0"/>
              <w:rPr>
                <w:rFonts w:ascii="宋体" w:cs="宋体"/>
                <w:color w:val="000000"/>
                <w:sz w:val="21"/>
                <w:szCs w:val="21"/>
              </w:rPr>
            </w:pPr>
            <w:r>
              <w:rPr>
                <w:rFonts w:hint="eastAsia" w:ascii="宋体" w:cs="宋体"/>
                <w:color w:val="000000"/>
                <w:sz w:val="21"/>
                <w:szCs w:val="21"/>
              </w:rPr>
              <w:t>GB/T 13927-2008　通用阀门　压力试验</w:t>
            </w:r>
          </w:p>
          <w:p w14:paraId="07D05B16">
            <w:pPr>
              <w:pStyle w:val="2"/>
              <w:spacing w:after="0"/>
              <w:rPr>
                <w:rFonts w:ascii="宋体" w:cs="宋体"/>
                <w:color w:val="000000"/>
                <w:sz w:val="21"/>
                <w:szCs w:val="21"/>
              </w:rPr>
            </w:pPr>
            <w:r>
              <w:rPr>
                <w:rFonts w:hint="eastAsia" w:ascii="宋体" w:cs="宋体"/>
                <w:color w:val="000000"/>
                <w:sz w:val="21"/>
                <w:szCs w:val="21"/>
              </w:rPr>
              <w:t>GB/T 17219-1998　生活饮用水输配水设备及防护材料的安全性评价标准</w:t>
            </w:r>
          </w:p>
          <w:p w14:paraId="6042E57C">
            <w:pPr>
              <w:pStyle w:val="2"/>
              <w:spacing w:after="0"/>
              <w:rPr>
                <w:rFonts w:ascii="宋体" w:cs="宋体"/>
                <w:color w:val="000000"/>
                <w:sz w:val="21"/>
                <w:szCs w:val="21"/>
              </w:rPr>
            </w:pPr>
            <w:r>
              <w:rPr>
                <w:rFonts w:hint="eastAsia" w:ascii="宋体" w:cs="宋体"/>
                <w:color w:val="000000"/>
                <w:sz w:val="21"/>
                <w:szCs w:val="21"/>
              </w:rPr>
              <w:t>GB/T 17241-1998　铸铁管法兰</w:t>
            </w:r>
          </w:p>
          <w:p w14:paraId="687068AE">
            <w:pPr>
              <w:pStyle w:val="2"/>
              <w:spacing w:after="0"/>
              <w:rPr>
                <w:rFonts w:ascii="宋体" w:cs="宋体"/>
                <w:color w:val="000000"/>
                <w:sz w:val="21"/>
                <w:szCs w:val="21"/>
              </w:rPr>
            </w:pPr>
            <w:r>
              <w:rPr>
                <w:rFonts w:hint="eastAsia" w:ascii="宋体" w:cs="宋体"/>
                <w:color w:val="000000"/>
                <w:sz w:val="21"/>
                <w:szCs w:val="21"/>
              </w:rPr>
              <w:t>JB/T 74-1994　管路法兰　技术条件</w:t>
            </w:r>
          </w:p>
          <w:p w14:paraId="45D07E0B">
            <w:pPr>
              <w:pStyle w:val="2"/>
              <w:spacing w:after="0"/>
              <w:rPr>
                <w:rFonts w:ascii="宋体" w:cs="宋体"/>
                <w:color w:val="000000"/>
                <w:sz w:val="21"/>
                <w:szCs w:val="21"/>
              </w:rPr>
            </w:pPr>
            <w:r>
              <w:rPr>
                <w:rFonts w:hint="eastAsia" w:ascii="宋体" w:cs="宋体"/>
                <w:color w:val="000000"/>
                <w:sz w:val="21"/>
                <w:szCs w:val="21"/>
              </w:rPr>
              <w:t>JB/T 5300-1991　通用阀门　材料</w:t>
            </w:r>
          </w:p>
          <w:p w14:paraId="54ADAEC9">
            <w:pPr>
              <w:pStyle w:val="2"/>
              <w:spacing w:after="0"/>
              <w:rPr>
                <w:rFonts w:ascii="宋体" w:cs="宋体"/>
                <w:color w:val="000000"/>
                <w:sz w:val="21"/>
                <w:szCs w:val="21"/>
              </w:rPr>
            </w:pPr>
            <w:r>
              <w:rPr>
                <w:rFonts w:hint="eastAsia" w:ascii="宋体" w:cs="宋体"/>
                <w:color w:val="000000"/>
                <w:sz w:val="21"/>
                <w:szCs w:val="21"/>
              </w:rPr>
              <w:t>JB/T 7927-1999　阀门铸钢件　外观质量要求</w:t>
            </w:r>
          </w:p>
          <w:p w14:paraId="7DBF572F">
            <w:pPr>
              <w:pStyle w:val="2"/>
              <w:spacing w:after="0"/>
              <w:rPr>
                <w:rFonts w:ascii="宋体" w:cs="宋体"/>
                <w:color w:val="000000"/>
                <w:sz w:val="21"/>
                <w:szCs w:val="21"/>
              </w:rPr>
            </w:pPr>
            <w:r>
              <w:rPr>
                <w:rFonts w:hint="eastAsia" w:ascii="宋体" w:cs="宋体"/>
                <w:color w:val="000000"/>
                <w:sz w:val="21"/>
                <w:szCs w:val="21"/>
              </w:rPr>
              <w:t>JB/T 8937-1999  对夹式止回阀</w:t>
            </w:r>
          </w:p>
          <w:p w14:paraId="4CBA6781">
            <w:pPr>
              <w:pStyle w:val="2"/>
              <w:spacing w:after="0"/>
              <w:rPr>
                <w:rFonts w:ascii="宋体" w:cs="宋体"/>
                <w:color w:val="000000"/>
                <w:sz w:val="21"/>
                <w:szCs w:val="21"/>
              </w:rPr>
            </w:pPr>
            <w:r>
              <w:rPr>
                <w:rFonts w:hint="eastAsia" w:ascii="宋体" w:cs="宋体"/>
                <w:color w:val="000000"/>
                <w:sz w:val="21"/>
                <w:szCs w:val="21"/>
              </w:rPr>
              <w:t>JB/T 308-2004  阀门型号编制方法</w:t>
            </w:r>
          </w:p>
          <w:p w14:paraId="17BBBF5C">
            <w:pPr>
              <w:pStyle w:val="2"/>
              <w:spacing w:after="0"/>
              <w:rPr>
                <w:rFonts w:ascii="宋体" w:cs="宋体"/>
                <w:color w:val="000000"/>
                <w:sz w:val="21"/>
                <w:szCs w:val="21"/>
              </w:rPr>
            </w:pPr>
            <w:r>
              <w:rPr>
                <w:rFonts w:hint="eastAsia" w:ascii="宋体" w:cs="宋体"/>
                <w:color w:val="000000"/>
                <w:sz w:val="21"/>
                <w:szCs w:val="21"/>
              </w:rPr>
              <w:t>GB/T25178-2010  减压型倒流防止器</w:t>
            </w:r>
          </w:p>
          <w:p w14:paraId="37C80971">
            <w:pPr>
              <w:pStyle w:val="2"/>
              <w:spacing w:after="0"/>
              <w:rPr>
                <w:rFonts w:ascii="宋体" w:cs="宋体"/>
                <w:color w:val="000000"/>
                <w:sz w:val="21"/>
                <w:szCs w:val="21"/>
              </w:rPr>
            </w:pPr>
            <w:r>
              <w:rPr>
                <w:rFonts w:hint="eastAsia" w:ascii="宋体" w:cs="宋体"/>
                <w:color w:val="000000"/>
                <w:sz w:val="21"/>
                <w:szCs w:val="21"/>
              </w:rPr>
              <w:t>JB/T11151-2011  低阻力倒流防止器</w:t>
            </w:r>
          </w:p>
          <w:p w14:paraId="30634258">
            <w:pPr>
              <w:pStyle w:val="2"/>
              <w:spacing w:after="0"/>
              <w:rPr>
                <w:rFonts w:hint="eastAsia" w:ascii="宋体" w:cs="宋体"/>
                <w:color w:val="000000"/>
                <w:sz w:val="21"/>
                <w:szCs w:val="21"/>
              </w:rPr>
            </w:pPr>
            <w:r>
              <w:rPr>
                <w:rFonts w:hint="eastAsia" w:ascii="宋体" w:cs="宋体"/>
                <w:color w:val="000000"/>
                <w:sz w:val="21"/>
                <w:szCs w:val="21"/>
              </w:rPr>
              <w:t>CJ/T160-2010 双止回阀倒流防止器</w:t>
            </w:r>
          </w:p>
          <w:p w14:paraId="222C268A">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（二）主要部件材质</w:t>
            </w:r>
          </w:p>
          <w:p w14:paraId="4B786E80">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主要零件材料见下表，若零件材料被代用时，其机械性能不应低于表中所规定的材料。</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8"/>
              <w:gridCol w:w="4988"/>
            </w:tblGrid>
            <w:tr w14:paraId="4AFE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04729E55">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主 要 零 件</w:t>
                  </w:r>
                </w:p>
              </w:tc>
              <w:tc>
                <w:tcPr>
                  <w:tcW w:w="4988" w:type="dxa"/>
                  <w:vAlign w:val="center"/>
                </w:tcPr>
                <w:p w14:paraId="3ABA8EEF">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材 料 名 称</w:t>
                  </w:r>
                </w:p>
              </w:tc>
            </w:tr>
            <w:tr w14:paraId="7A8F1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1AD09FA0">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阀体、阀盖</w:t>
                  </w:r>
                </w:p>
              </w:tc>
              <w:tc>
                <w:tcPr>
                  <w:tcW w:w="4988" w:type="dxa"/>
                  <w:vAlign w:val="center"/>
                </w:tcPr>
                <w:p w14:paraId="6137F377">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球墨铸铁QT450/不锈钢</w:t>
                  </w:r>
                </w:p>
              </w:tc>
            </w:tr>
            <w:tr w14:paraId="1CFC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1FC073F3">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橡胶密封件、膜片</w:t>
                  </w:r>
                </w:p>
              </w:tc>
              <w:tc>
                <w:tcPr>
                  <w:tcW w:w="4988" w:type="dxa"/>
                  <w:vAlign w:val="center"/>
                </w:tcPr>
                <w:p w14:paraId="610250C0">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丁腈橡胶或三元乙丙</w:t>
                  </w:r>
                </w:p>
              </w:tc>
            </w:tr>
            <w:tr w14:paraId="43DC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4159E090">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泄水阀板</w:t>
                  </w:r>
                </w:p>
              </w:tc>
              <w:tc>
                <w:tcPr>
                  <w:tcW w:w="4988" w:type="dxa"/>
                  <w:vAlign w:val="center"/>
                </w:tcPr>
                <w:p w14:paraId="4FEDCB32">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304(外包覆丁腈橡胶或三元乙丙)</w:t>
                  </w:r>
                </w:p>
              </w:tc>
            </w:tr>
            <w:tr w14:paraId="05BF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585B7027">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止回阀阀瓣</w:t>
                  </w:r>
                </w:p>
              </w:tc>
              <w:tc>
                <w:tcPr>
                  <w:tcW w:w="4988" w:type="dxa"/>
                  <w:vAlign w:val="center"/>
                </w:tcPr>
                <w:p w14:paraId="1B9BEBE8">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304不锈钢</w:t>
                  </w:r>
                </w:p>
              </w:tc>
            </w:tr>
            <w:tr w14:paraId="099A1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4E872E89">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阀杆、止回阀弹簧</w:t>
                  </w:r>
                </w:p>
              </w:tc>
              <w:tc>
                <w:tcPr>
                  <w:tcW w:w="4988" w:type="dxa"/>
                  <w:vAlign w:val="center"/>
                </w:tcPr>
                <w:p w14:paraId="11096239">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1Cr18Ni9Ti/304不锈钢</w:t>
                  </w:r>
                </w:p>
              </w:tc>
            </w:tr>
            <w:tr w14:paraId="5BCE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1D26FB60">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阀座</w:t>
                  </w:r>
                </w:p>
              </w:tc>
              <w:tc>
                <w:tcPr>
                  <w:tcW w:w="4988" w:type="dxa"/>
                  <w:vAlign w:val="center"/>
                </w:tcPr>
                <w:p w14:paraId="2B563C19">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CF8/铜合金（镀镍）</w:t>
                  </w:r>
                </w:p>
              </w:tc>
            </w:tr>
            <w:tr w14:paraId="715D4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8" w:type="dxa"/>
                  <w:vAlign w:val="center"/>
                </w:tcPr>
                <w:p w14:paraId="442A24E9">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与水接触的紧固件</w:t>
                  </w:r>
                </w:p>
              </w:tc>
              <w:tc>
                <w:tcPr>
                  <w:tcW w:w="4988" w:type="dxa"/>
                  <w:vAlign w:val="center"/>
                </w:tcPr>
                <w:p w14:paraId="316C7A9C">
                  <w:pPr>
                    <w:snapToGrid w:val="0"/>
                    <w:spacing w:line="240" w:lineRule="exact"/>
                    <w:ind w:firstLine="420" w:firstLineChars="200"/>
                    <w:contextualSpacing/>
                    <w:jc w:val="center"/>
                    <w:rPr>
                      <w:rFonts w:ascii="宋体" w:eastAsia="宋体" w:cs="宋体"/>
                      <w:color w:val="000000"/>
                      <w:kern w:val="0"/>
                      <w:szCs w:val="21"/>
                    </w:rPr>
                  </w:pPr>
                  <w:r>
                    <w:rPr>
                      <w:rFonts w:hint="eastAsia" w:ascii="宋体" w:eastAsia="宋体" w:cs="宋体"/>
                      <w:color w:val="000000"/>
                      <w:szCs w:val="21"/>
                    </w:rPr>
                    <w:t>304不锈钢</w:t>
                  </w:r>
                </w:p>
              </w:tc>
            </w:tr>
          </w:tbl>
          <w:p w14:paraId="3E224CBE">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倒流防止器的公称压力应符合GB/T 1048的规定。</w:t>
            </w:r>
          </w:p>
          <w:p w14:paraId="0285B4F0">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倒流防止器的公称通径应符合GB/T 1047的规定。</w:t>
            </w:r>
          </w:p>
          <w:p w14:paraId="5862E0FB">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（三）涂装</w:t>
            </w:r>
          </w:p>
          <w:p w14:paraId="3A752CB0">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1．所有流道内表面应清理平整。表面进行喷砂除锈，达到Sa2.5级；涂层厚度为：0.3—0.6mm之间，涂料应符合GB/T 17219要求。</w:t>
            </w:r>
          </w:p>
          <w:p w14:paraId="2C54C882">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2．产品外部表面应仔细清除铁锈和油污，涂上底漆。面漆喷涂应该均匀、光洁，不允许有裂纹、脱皮、气泡等缺陷，面漆颜色除用户特殊要求外，一般为绿色或蓝色。</w:t>
            </w:r>
          </w:p>
          <w:p w14:paraId="36F06A27">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3．阀体外表面适当位置应铸有凸出的规格、公称压力字样和表示水流方向的箭头。</w:t>
            </w:r>
          </w:p>
          <w:p w14:paraId="138A9FA9">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（四）基本要求</w:t>
            </w:r>
          </w:p>
          <w:p w14:paraId="58C007D2">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1．低阻力法兰型倒流防止器低阻力法兰型公称压力等级均为：1.0MPa；连接方式：DN50及以上规格为法兰连接，DN40及以下为螺纹连接。</w:t>
            </w:r>
          </w:p>
          <w:p w14:paraId="7C025596">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2．低阻力法兰型倒流防止器要求采用两级独立止回阀加泄水阀的结构，两级止回阀开启关闭互相不干涉。倒流防止器必须成套供应，包括密封圈、阀座、阀瓣等配件。</w:t>
            </w:r>
          </w:p>
          <w:p w14:paraId="3E797B41">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3．低阻力法兰型倒流防止器不应有外露旁通控制管路存在。</w:t>
            </w:r>
          </w:p>
          <w:p w14:paraId="7861FB7A">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4．低阻力法兰型倒流防止器泄水阀组件应位于主阀体内部或与主阀体一体，不许采用外挂连接形式。</w:t>
            </w:r>
          </w:p>
          <w:p w14:paraId="691F34FE">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5、泄水阀应采用双重密封形式确保密封的可靠（双重密封不能位于同一平面），且在泄水口周边应加装防护装置，防止杂质进入泄水口而产生卡阻。</w:t>
            </w:r>
          </w:p>
          <w:p w14:paraId="3076A405">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6．低阻力法兰型倒流防止器与水接触的零部件不许采用铜质材料。</w:t>
            </w:r>
          </w:p>
          <w:p w14:paraId="10749B5F">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7．低阻力法兰型倒流防止器检测口数量不少于三个，检测口直径不得小于8mm，检测口螺纹规格不小于G1/4’，检测口应安装304以上不锈钢球阀。</w:t>
            </w:r>
          </w:p>
          <w:p w14:paraId="2B8BF3A2">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8、双止回阀倒流防止器要求采用二级独立的止回阀结构，二级止回阀除阀体共用外无其余共用件，且要求阀体下端无泄水口。</w:t>
            </w:r>
          </w:p>
          <w:p w14:paraId="28B85707">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9、双止回阀倒流防止器要求具备三个检测口，检测口位于阀体侧面或阀体上端，检测口螺纹不小于G1/4’，且检测口要求加装检修阀。</w:t>
            </w:r>
          </w:p>
          <w:p w14:paraId="1D486AFC">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10、双止回阀倒流止器要求具有在线检修功能，即不用将阀门从管道上拆下即可以进行内部件的维修及更换。</w:t>
            </w:r>
          </w:p>
          <w:p w14:paraId="37116B13">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11、双止回阀倒流防止器不允许采用低阻力倒流防止器取消泄水口的结构方式。</w:t>
            </w:r>
          </w:p>
          <w:p w14:paraId="123DEDA1">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12、双止回阀倒流防止器不应与低阻力倒流防止器通用，产品底部平整一体无装置，水头损失不大于4米（流速2m/s时）。</w:t>
            </w:r>
          </w:p>
          <w:p w14:paraId="31BAB472">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（五）低阻力倒流防止器技术要求</w:t>
            </w:r>
          </w:p>
          <w:p w14:paraId="1D133317">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1．正常流动状态：进水端的供水压力总是高于出水端水的压力，水能顺利流过低阻力倒流防止器作正向流动，这时进水端的水压与中间腔水压差不小于0.007MPa，这个压差驱动泄水阀处于关闭状态，泄水阀不泄水。</w:t>
            </w:r>
          </w:p>
          <w:p w14:paraId="7DCBC7B3">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2．零流量状态（一）：出水端无水流出，若进水端供水压力保持恒定，且进水端水压高于阀腔内水压，压差不小于0.007MPa，泄水阀处于关闭状态。此时出水止回阀压差应不小于0.0035MPa。</w:t>
            </w:r>
          </w:p>
          <w:p w14:paraId="7280590E">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3．零流量状态（二）：出水端无水流出，若进水端供水压力出现下降，虽然进水端的压力仍高于阀腔内的压力，但当ΔPj 小于0.002MPa时, 旁通泄水阀就开启泄水，阀腔内的水（部分）被排出；当出水管路因某种原因而水压上升，而且出水止回阀泄漏，造成阀腔内压力上升，这时当ΔPj小于0.002MPa时泄水阀开启将反流水排出。只要泄水阀开启，空气立即通过与大气相通的漏水斗进入阀腔，形成空气隔断。</w:t>
            </w:r>
          </w:p>
          <w:p w14:paraId="2D4F1753">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4．反虹吸状态：当倒流防止器的进水端供水压力下降至≤0.002MPa时，无论阀腔内的压力多大，泄水阀开启泄水，同时空气立即通过与大气相通的漏水斗进入阀腔，形成空气隔断，进水端水压即使继续下降形成负压，也不会产生虹吸倒流。</w:t>
            </w:r>
          </w:p>
          <w:p w14:paraId="3441CC39">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5．中间腔有空气隔断防止外界水源进入。</w:t>
            </w:r>
          </w:p>
          <w:p w14:paraId="17364618">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6．投标产品必须提供出厂试验、静水压试验、密封试验试验报告。采用专用压差检测分析仪进行检测分析。</w:t>
            </w:r>
          </w:p>
          <w:p w14:paraId="3C3CDD7A">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7．性能要求：</w:t>
            </w:r>
          </w:p>
          <w:p w14:paraId="79AD114A">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①整机的壳体应有足够的强度和刚度，当试验压力为1.5倍的公称压力时，不得有结构损伤、永久变形和渗漏等现象。</w:t>
            </w:r>
          </w:p>
          <w:p w14:paraId="3F47AA5E">
            <w:pPr>
              <w:widowControl/>
              <w:jc w:val="left"/>
              <w:textAlignment w:val="center"/>
              <w:rPr>
                <w:rFonts w:ascii="宋体" w:eastAsia="宋体" w:cs="宋体"/>
                <w:color w:val="000000"/>
                <w:kern w:val="0"/>
                <w:szCs w:val="21"/>
              </w:rPr>
            </w:pPr>
            <w:r>
              <w:rPr>
                <w:rFonts w:hint="eastAsia" w:ascii="宋体" w:eastAsia="宋体" w:cs="宋体"/>
                <w:color w:val="000000"/>
                <w:kern w:val="0"/>
                <w:szCs w:val="21"/>
              </w:rPr>
              <w:t>②整机所有部件的接口，在试验压力为1.1倍的公称压力时，对外应密封可靠、无泄漏。</w:t>
            </w:r>
          </w:p>
          <w:p w14:paraId="3C9369E1">
            <w:pPr>
              <w:widowControl/>
              <w:jc w:val="left"/>
              <w:textAlignment w:val="center"/>
              <w:rPr>
                <w:rFonts w:ascii="宋体" w:eastAsia="宋体" w:cs="宋体"/>
                <w:b/>
                <w:bCs/>
                <w:color w:val="000000"/>
                <w:kern w:val="0"/>
                <w:sz w:val="24"/>
                <w:szCs w:val="24"/>
              </w:rPr>
            </w:pPr>
            <w:r>
              <w:rPr>
                <w:rFonts w:hint="eastAsia" w:ascii="宋体" w:eastAsia="宋体" w:cs="宋体"/>
                <w:color w:val="000000"/>
                <w:kern w:val="0"/>
                <w:szCs w:val="21"/>
              </w:rPr>
              <w:t>③整机内的所有止回阀和密封件的密封部位，在试验压力为1.1倍的公称压力时，应无泄漏现象。</w:t>
            </w:r>
          </w:p>
        </w:tc>
      </w:tr>
      <w:tr w14:paraId="797B9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02F453A6">
            <w:pPr>
              <w:widowControl/>
              <w:jc w:val="left"/>
              <w:textAlignment w:val="center"/>
              <w:rPr>
                <w:rFonts w:ascii="宋体" w:eastAsia="宋体" w:cs="宋体"/>
                <w:color w:val="000000"/>
                <w:sz w:val="24"/>
                <w:szCs w:val="24"/>
              </w:rPr>
            </w:pPr>
            <w:r>
              <w:rPr>
                <w:rFonts w:hint="eastAsia" w:ascii="宋体" w:eastAsia="宋体" w:cs="宋体"/>
                <w:color w:val="000000"/>
                <w:kern w:val="0"/>
                <w:sz w:val="24"/>
                <w:szCs w:val="24"/>
              </w:rPr>
              <w:t>报价单位（盖章）：</w:t>
            </w:r>
          </w:p>
        </w:tc>
        <w:tc>
          <w:tcPr>
            <w:tcW w:w="488" w:type="dxa"/>
            <w:gridSpan w:val="2"/>
            <w:tcBorders>
              <w:top w:val="nil"/>
              <w:left w:val="nil"/>
              <w:bottom w:val="nil"/>
              <w:right w:val="nil"/>
            </w:tcBorders>
            <w:shd w:val="clear" w:color="auto" w:fill="auto"/>
            <w:noWrap/>
            <w:vAlign w:val="center"/>
          </w:tcPr>
          <w:p w14:paraId="5165A685">
            <w:pPr>
              <w:rPr>
                <w:rFonts w:ascii="宋体" w:eastAsia="宋体" w:cs="宋体"/>
                <w:color w:val="000000"/>
                <w:sz w:val="22"/>
              </w:rPr>
            </w:pPr>
          </w:p>
        </w:tc>
      </w:tr>
      <w:tr w14:paraId="6953C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2322D2CC">
            <w:pPr>
              <w:widowControl/>
              <w:jc w:val="left"/>
              <w:textAlignment w:val="center"/>
              <w:rPr>
                <w:rFonts w:ascii="宋体" w:eastAsia="宋体" w:cs="宋体"/>
                <w:color w:val="000000"/>
                <w:sz w:val="24"/>
                <w:szCs w:val="24"/>
              </w:rPr>
            </w:pPr>
            <w:r>
              <w:rPr>
                <w:rFonts w:hint="eastAsia" w:ascii="宋体" w:eastAsia="宋体" w:cs="宋体"/>
                <w:color w:val="000000"/>
                <w:kern w:val="0"/>
                <w:sz w:val="24"/>
                <w:szCs w:val="24"/>
              </w:rPr>
              <w:t>联系人：</w:t>
            </w:r>
          </w:p>
        </w:tc>
        <w:tc>
          <w:tcPr>
            <w:tcW w:w="488" w:type="dxa"/>
            <w:gridSpan w:val="2"/>
            <w:tcBorders>
              <w:top w:val="nil"/>
              <w:left w:val="nil"/>
              <w:bottom w:val="nil"/>
              <w:right w:val="nil"/>
            </w:tcBorders>
            <w:shd w:val="clear" w:color="auto" w:fill="auto"/>
            <w:noWrap/>
            <w:vAlign w:val="center"/>
          </w:tcPr>
          <w:p w14:paraId="2BECD7C0">
            <w:pPr>
              <w:rPr>
                <w:rFonts w:ascii="宋体" w:eastAsia="宋体" w:cs="宋体"/>
                <w:color w:val="000000"/>
                <w:sz w:val="22"/>
              </w:rPr>
            </w:pPr>
          </w:p>
        </w:tc>
      </w:tr>
      <w:tr w14:paraId="15E89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2E6E8A42">
            <w:pPr>
              <w:widowControl/>
              <w:jc w:val="left"/>
              <w:textAlignment w:val="center"/>
              <w:rPr>
                <w:rFonts w:ascii="宋体" w:eastAsia="宋体" w:cs="宋体"/>
                <w:color w:val="000000"/>
                <w:sz w:val="24"/>
                <w:szCs w:val="24"/>
              </w:rPr>
            </w:pPr>
            <w:r>
              <w:rPr>
                <w:rFonts w:hint="eastAsia" w:ascii="宋体" w:eastAsia="宋体" w:cs="宋体"/>
                <w:color w:val="000000"/>
                <w:kern w:val="0"/>
                <w:sz w:val="24"/>
                <w:szCs w:val="24"/>
              </w:rPr>
              <w:t>联系电话：</w:t>
            </w:r>
          </w:p>
        </w:tc>
        <w:tc>
          <w:tcPr>
            <w:tcW w:w="488" w:type="dxa"/>
            <w:gridSpan w:val="2"/>
            <w:tcBorders>
              <w:top w:val="nil"/>
              <w:left w:val="nil"/>
              <w:bottom w:val="nil"/>
              <w:right w:val="nil"/>
            </w:tcBorders>
            <w:shd w:val="clear" w:color="auto" w:fill="auto"/>
            <w:noWrap/>
            <w:vAlign w:val="center"/>
          </w:tcPr>
          <w:p w14:paraId="67B1B51F">
            <w:pPr>
              <w:rPr>
                <w:rFonts w:ascii="宋体" w:eastAsia="宋体" w:cs="宋体"/>
                <w:color w:val="000000"/>
                <w:sz w:val="22"/>
              </w:rPr>
            </w:pPr>
          </w:p>
        </w:tc>
      </w:tr>
      <w:tr w14:paraId="16912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6"/>
          <w:wBefore w:w="323" w:type="dxa"/>
          <w:wAfter w:w="7268" w:type="dxa"/>
          <w:trHeight w:val="585" w:hRule="atLeast"/>
        </w:trPr>
        <w:tc>
          <w:tcPr>
            <w:tcW w:w="2113" w:type="dxa"/>
            <w:gridSpan w:val="2"/>
            <w:tcBorders>
              <w:top w:val="nil"/>
              <w:left w:val="nil"/>
              <w:bottom w:val="nil"/>
              <w:right w:val="nil"/>
            </w:tcBorders>
            <w:shd w:val="clear" w:color="auto" w:fill="auto"/>
            <w:noWrap/>
            <w:vAlign w:val="center"/>
          </w:tcPr>
          <w:p w14:paraId="359E0B8D">
            <w:pPr>
              <w:widowControl/>
              <w:jc w:val="left"/>
              <w:textAlignment w:val="center"/>
              <w:rPr>
                <w:rFonts w:ascii="宋体" w:eastAsia="宋体" w:cs="宋体"/>
                <w:color w:val="000000"/>
                <w:sz w:val="24"/>
                <w:szCs w:val="24"/>
              </w:rPr>
            </w:pPr>
            <w:r>
              <w:rPr>
                <w:rFonts w:hint="eastAsia" w:ascii="宋体" w:eastAsia="宋体" w:cs="宋体"/>
                <w:color w:val="000000"/>
                <w:kern w:val="0"/>
                <w:sz w:val="24"/>
                <w:szCs w:val="24"/>
              </w:rPr>
              <w:t>报价时间：</w:t>
            </w:r>
          </w:p>
        </w:tc>
        <w:tc>
          <w:tcPr>
            <w:tcW w:w="488" w:type="dxa"/>
            <w:gridSpan w:val="2"/>
            <w:tcBorders>
              <w:top w:val="nil"/>
              <w:left w:val="nil"/>
              <w:bottom w:val="nil"/>
              <w:right w:val="nil"/>
            </w:tcBorders>
            <w:shd w:val="clear" w:color="auto" w:fill="auto"/>
            <w:noWrap/>
            <w:vAlign w:val="center"/>
          </w:tcPr>
          <w:p w14:paraId="29213B4B">
            <w:pPr>
              <w:rPr>
                <w:rFonts w:ascii="宋体" w:eastAsia="宋体" w:cs="宋体"/>
                <w:color w:val="000000"/>
                <w:sz w:val="22"/>
              </w:rPr>
            </w:pPr>
          </w:p>
        </w:tc>
      </w:tr>
    </w:tbl>
    <w:p w14:paraId="5B8608D7">
      <w:pPr>
        <w:pStyle w:val="2"/>
      </w:pPr>
    </w:p>
    <w:bookmarkEnd w:id="0"/>
    <w:sectPr>
      <w:footerReference r:id="rId3" w:type="default"/>
      <w:pgSz w:w="11906" w:h="16838"/>
      <w:pgMar w:top="1157" w:right="1080" w:bottom="110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DBB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25"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9524" cy="148018"/>
                      </a:xfrm>
                      <a:prstGeom prst="rect">
                        <a:avLst/>
                      </a:prstGeom>
                      <a:noFill/>
                      <a:ln w="12700" cap="flat" cmpd="sng">
                        <a:noFill/>
                        <a:prstDash val="solid"/>
                        <a:round/>
                      </a:ln>
                    </wps:spPr>
                    <wps:txbx>
                      <w:txbxContent>
                        <w:p w14:paraId="153E043E">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65pt;width:0.75pt;mso-position-horizontal:center;mso-position-horizontal-relative:margin;mso-wrap-style:none;z-index:251659264;mso-width-relative:page;mso-height-relative:page;" filled="f" stroked="f" coordsize="21600,21600" o:gfxdata="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sbNN9IAAAACAQAADwAAAAAAAAABACAAAAAiAAAAZHJzL2Rvd25yZXYu&#10;eG1sUEsBAhQAFAAAAAgAh07iQDaogeoBAgAA8wMAAA4AAAAAAAAAAQAgAAAAIQEAAGRycy9lMm9E&#10;b2MueG1sUEsFBgAAAAAGAAYAWQEAAJQFAAAAAA==&#10;">
              <v:fill on="f" focussize="0,0"/>
              <v:stroke on="f" weight="1pt" joinstyle="round"/>
              <v:imagedata o:title=""/>
              <o:lock v:ext="edit" aspectratio="f"/>
              <v:textbox inset="0mm,0mm,0mm,0mm" style="mso-fit-shape-to-text:t;">
                <w:txbxContent>
                  <w:p w14:paraId="153E043E">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docVars>
    <w:docVar w:name="commondata" w:val="eyJoZGlkIjoiNThmYTM4ZDQ0OTIyOTc4ZDI1MjJiMzJjMTU1ODUxMTgifQ=="/>
  </w:docVars>
  <w:rsids>
    <w:rsidRoot w:val="00000000"/>
    <w:rsid w:val="1C8E4F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autoRedefine/>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autoRedefine/>
    <w:uiPriority w:val="0"/>
    <w:pPr>
      <w:keepNext/>
      <w:keepLines/>
      <w:widowControl w:val="0"/>
      <w:spacing w:before="260" w:after="260" w:line="415" w:lineRule="auto"/>
      <w:outlineLvl w:val="1"/>
    </w:pPr>
    <w:rPr>
      <w:rFonts w:ascii="Cambria" w:hAnsi="Cambria" w:eastAsia="宋体" w:cs="Times New Roman"/>
      <w:b/>
      <w:bCs/>
      <w:sz w:val="32"/>
      <w:szCs w:val="32"/>
    </w:rPr>
  </w:style>
  <w:style w:type="paragraph" w:styleId="5">
    <w:name w:val="heading 3"/>
    <w:basedOn w:val="1"/>
    <w:next w:val="1"/>
    <w:autoRedefine/>
    <w:qFormat/>
    <w:uiPriority w:val="0"/>
    <w:pPr>
      <w:keepNext/>
      <w:keepLines/>
      <w:widowControl w:val="0"/>
      <w:spacing w:before="260" w:after="260" w:line="415" w:lineRule="auto"/>
      <w:outlineLvl w:val="2"/>
    </w:pPr>
    <w:rPr>
      <w:b/>
      <w:bCs/>
      <w:sz w:val="32"/>
      <w:szCs w:val="32"/>
    </w:rPr>
  </w:style>
  <w:style w:type="paragraph" w:styleId="6">
    <w:name w:val="heading 4"/>
    <w:basedOn w:val="1"/>
    <w:next w:val="1"/>
    <w:autoRedefine/>
    <w:uiPriority w:val="0"/>
    <w:pPr>
      <w:keepNext/>
      <w:keepLines/>
      <w:widowControl w:val="0"/>
      <w:spacing w:before="280" w:after="290" w:line="377" w:lineRule="auto"/>
      <w:outlineLvl w:val="3"/>
    </w:pPr>
    <w:rPr>
      <w:rFonts w:ascii="Cambria" w:hAnsi="Cambria" w:eastAsia="宋体" w:cs="Times New Roman"/>
      <w:b/>
      <w:bCs/>
      <w:sz w:val="28"/>
      <w:szCs w:val="28"/>
    </w:rPr>
  </w:style>
  <w:style w:type="paragraph" w:styleId="7">
    <w:name w:val="heading 5"/>
    <w:basedOn w:val="1"/>
    <w:next w:val="1"/>
    <w:autoRedefine/>
    <w:uiPriority w:val="0"/>
    <w:pPr>
      <w:keepNext/>
      <w:keepLines/>
      <w:widowControl w:val="0"/>
      <w:spacing w:before="280" w:after="290" w:line="377" w:lineRule="auto"/>
      <w:outlineLvl w:val="4"/>
    </w:pPr>
    <w:rPr>
      <w:b/>
      <w:bCs/>
      <w:sz w:val="28"/>
      <w:szCs w:val="28"/>
    </w:rPr>
  </w:style>
  <w:style w:type="paragraph" w:styleId="8">
    <w:name w:val="heading 6"/>
    <w:basedOn w:val="1"/>
    <w:next w:val="1"/>
    <w:autoRedefine/>
    <w:uiPriority w:val="0"/>
    <w:pPr>
      <w:keepNext/>
      <w:keepLines/>
      <w:widowControl w:val="0"/>
      <w:spacing w:before="240" w:after="64" w:line="319" w:lineRule="auto"/>
      <w:outlineLvl w:val="5"/>
    </w:pPr>
    <w:rPr>
      <w:rFonts w:ascii="Cambria" w:hAnsi="Cambria" w:eastAsia="宋体" w:cs="Times New Roman"/>
      <w:b/>
      <w:bCs/>
      <w:sz w:val="24"/>
      <w:szCs w:val="24"/>
    </w:rPr>
  </w:style>
  <w:style w:type="character" w:default="1" w:styleId="18">
    <w:name w:val="Default Paragraph Font"/>
    <w:uiPriority w:val="0"/>
  </w:style>
  <w:style w:type="table" w:default="1" w:styleId="17">
    <w:name w:val="Normal Table"/>
    <w:semiHidden/>
    <w:uiPriority w:val="0"/>
    <w:tblPr>
      <w:tblCellMar>
        <w:top w:w="0" w:type="dxa"/>
        <w:left w:w="108" w:type="dxa"/>
        <w:bottom w:w="0" w:type="dxa"/>
        <w:right w:w="108" w:type="dxa"/>
      </w:tblCellMar>
    </w:tblPr>
  </w:style>
  <w:style w:type="paragraph" w:styleId="2">
    <w:name w:val="Body Text"/>
    <w:basedOn w:val="1"/>
    <w:next w:val="1"/>
    <w:autoRedefine/>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uiPriority w:val="0"/>
    <w:pPr>
      <w:ind w:left="20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qFormat/>
    <w:uiPriority w:val="0"/>
    <w:pPr>
      <w:ind w:left="600" w:leftChars="600"/>
    </w:pPr>
    <w:rPr>
      <w:rFonts w:ascii="Times New Roman" w:hAnsi="Times New Roman" w:cs="Times New Roman"/>
    </w:rPr>
  </w:style>
  <w:style w:type="paragraph" w:styleId="12">
    <w:name w:val="footer"/>
    <w:basedOn w:val="1"/>
    <w:autoRedefine/>
    <w:uiPriority w:val="0"/>
    <w:pPr>
      <w:tabs>
        <w:tab w:val="center" w:pos="4153"/>
        <w:tab w:val="right" w:pos="8306"/>
      </w:tabs>
      <w:snapToGrid w:val="0"/>
      <w:jc w:val="left"/>
    </w:pPr>
    <w:rPr>
      <w:sz w:val="18"/>
    </w:rPr>
  </w:style>
  <w:style w:type="paragraph" w:styleId="13">
    <w:name w:val="header"/>
    <w:basedOn w:val="1"/>
    <w:autoRedefine/>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14">
    <w:name w:val="Normal (Web)"/>
    <w:basedOn w:val="1"/>
    <w:autoRedefine/>
    <w:uiPriority w:val="0"/>
    <w:pPr>
      <w:widowControl/>
      <w:spacing w:before="100" w:beforeAutospacing="1" w:after="100" w:afterAutospacing="1"/>
      <w:jc w:val="left"/>
    </w:pPr>
    <w:rPr>
      <w:rFonts w:ascii="宋体" w:eastAsia="宋体" w:cs="宋体"/>
      <w:kern w:val="0"/>
      <w:sz w:val="24"/>
      <w:szCs w:val="24"/>
    </w:rPr>
  </w:style>
  <w:style w:type="paragraph" w:styleId="15">
    <w:name w:val="Body Text First Indent"/>
    <w:basedOn w:val="2"/>
    <w:next w:val="16"/>
    <w:autoRedefine/>
    <w:qFormat/>
    <w:uiPriority w:val="0"/>
    <w:pPr>
      <w:ind w:firstLine="100" w:firstLineChars="100"/>
    </w:pPr>
  </w:style>
  <w:style w:type="paragraph" w:styleId="16">
    <w:name w:val="Body Text First Indent 2"/>
    <w:basedOn w:val="9"/>
    <w:autoRedefine/>
    <w:qFormat/>
    <w:uiPriority w:val="0"/>
    <w:pPr>
      <w:spacing w:after="120"/>
      <w:ind w:firstLine="200" w:firstLineChars="200"/>
    </w:pPr>
    <w:rPr>
      <w:rFonts w:ascii="Times New Roman" w:hAnsi="Times New Roman"/>
      <w:szCs w:val="20"/>
    </w:rPr>
  </w:style>
  <w:style w:type="character" w:styleId="19">
    <w:name w:val="Strong"/>
    <w:basedOn w:val="18"/>
    <w:qFormat/>
    <w:uiPriority w:val="0"/>
    <w:rPr>
      <w:b/>
    </w:rPr>
  </w:style>
  <w:style w:type="paragraph" w:customStyle="1" w:styleId="20">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1">
    <w:name w:val="NormalCharacter"/>
    <w:autoRedefine/>
    <w:uiPriority w:val="0"/>
  </w:style>
  <w:style w:type="character" w:customStyle="1" w:styleId="22">
    <w:name w:val="font21"/>
    <w:basedOn w:val="18"/>
    <w:autoRedefine/>
    <w:qFormat/>
    <w:uiPriority w:val="0"/>
    <w:rPr>
      <w:rFonts w:ascii="宋体" w:eastAsia="宋体" w:cs="宋体"/>
      <w:color w:val="000000"/>
      <w:sz w:val="20"/>
      <w:szCs w:val="20"/>
      <w:u w:val="none"/>
    </w:rPr>
  </w:style>
  <w:style w:type="character" w:customStyle="1" w:styleId="23">
    <w:name w:val="font41"/>
    <w:basedOn w:val="18"/>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4682</Words>
  <Characters>5194</Characters>
  <Lines>233</Lines>
  <Paragraphs>157</Paragraphs>
  <TotalTime>4</TotalTime>
  <ScaleCrop>false</ScaleCrop>
  <LinksUpToDate>false</LinksUpToDate>
  <CharactersWithSpaces>5385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2025-06-03T02:56:34Z</dcterms:created>
  <dc:creator>Administrator</dc:creator>
  <cp:lastModifiedBy>路小莓</cp:lastModifiedBy>
  <dcterms:modified xsi:type="dcterms:W3CDTF">2025-06-03T02:56:59Z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7FDC774608DA40638CC095215B1A7B0A_13</vt:lpwstr>
  </property>
</Properties>
</file>