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w:t>
      </w:r>
      <w:r>
        <w:rPr>
          <w:rFonts w:hint="eastAsia" w:asciiTheme="minorEastAsia" w:hAnsiTheme="minorEastAsia"/>
          <w:b/>
          <w:spacing w:val="0"/>
          <w:sz w:val="32"/>
          <w:szCs w:val="32"/>
          <w:lang w:val="en-US" w:eastAsia="zh-CN"/>
        </w:rPr>
        <w:t>钢制双法兰限位伸缩节</w:t>
      </w:r>
      <w:r>
        <w:rPr>
          <w:rFonts w:hint="eastAsia" w:asciiTheme="minorEastAsia" w:hAnsiTheme="minorEastAsia" w:eastAsiaTheme="minorEastAsia"/>
          <w:b/>
          <w:spacing w:val="0"/>
          <w:sz w:val="32"/>
          <w:szCs w:val="32"/>
          <w:lang w:val="en-US" w:eastAsia="zh-CN"/>
        </w:rPr>
        <w:t>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r>
        <w:rPr>
          <w:rFonts w:hint="eastAsia" w:asciiTheme="minorEastAsia" w:hAnsiTheme="minorEastAsia"/>
          <w:b/>
          <w:spacing w:val="0"/>
          <w:sz w:val="32"/>
          <w:szCs w:val="32"/>
          <w:lang w:val="en-US" w:eastAsia="zh-CN"/>
        </w:rPr>
        <w:t>（第二次）招标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启东市吕四自来水厂有限公司钢制双法兰限位伸缩节2025-2026年度采购项目即将实施，现就该项目进行招标采购。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一、采购需求：详见附件《启东市吕四自来水厂有限公司钢制双法兰限位伸缩节2025-2026年度采购项目报价清单》。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60FF0CE6">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1年（自合同签订之日起）。</w:t>
      </w:r>
    </w:p>
    <w:p w14:paraId="141FD9E2">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000000" w:themeColor="text1"/>
          <w:sz w:val="24"/>
          <w14:textFill>
            <w14:solidFill>
              <w14:schemeClr w14:val="tx1"/>
            </w14:solidFill>
          </w14:textFill>
        </w:rPr>
        <w:t>履约保证金交纳要求：</w:t>
      </w:r>
      <w:r>
        <w:rPr>
          <w:rFonts w:hint="eastAsia" w:ascii="宋体" w:hAnsi="宋体" w:cs="宋体"/>
          <w:color w:val="000000" w:themeColor="text1"/>
          <w:sz w:val="24"/>
          <w14:textFill>
            <w14:solidFill>
              <w14:schemeClr w14:val="tx1"/>
            </w14:solidFill>
          </w14:textFill>
        </w:rPr>
        <w:t>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78F3FF33">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1、成交供应商全部履约合同义务，经采购单位验收合格无质量、进度等问题的，采购人在</w:t>
      </w:r>
      <w:r>
        <w:rPr>
          <w:rFonts w:hint="eastAsia" w:cs="SourceHanSansCN-Regular" w:asciiTheme="minorEastAsia" w:hAnsiTheme="minorEastAsia" w:eastAsiaTheme="minorEastAsia"/>
          <w:color w:val="000000"/>
          <w:spacing w:val="7"/>
          <w:kern w:val="0"/>
          <w:sz w:val="24"/>
          <w:shd w:val="clear" w:color="auto" w:fill="FFFFFF"/>
        </w:rPr>
        <w:t>履约期结束且</w:t>
      </w:r>
      <w:r>
        <w:rPr>
          <w:rFonts w:hint="eastAsia" w:ascii="宋体" w:hAnsi="宋体" w:cs="宋体"/>
          <w:color w:val="000000" w:themeColor="text1"/>
          <w:sz w:val="24"/>
          <w14:textFill>
            <w14:solidFill>
              <w14:schemeClr w14:val="tx1"/>
            </w14:solidFill>
          </w14:textFill>
        </w:rPr>
        <w:t>验收合格后一次性退还履约保证金。</w:t>
      </w:r>
    </w:p>
    <w:p w14:paraId="33E95E9E">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2、发生以下情况的，履约保证金不予退还或部分退还：</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（1）签订合同后，成交供应商不履行合同义务的，采购单位有权全额扣除履约保证金，全额不予退还，同时采购单位亦有权终止合同，成交供应商还须承担相应的法律赔偿责任。</w:t>
      </w:r>
    </w:p>
    <w:p w14:paraId="20E7E91F">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D1EAABC">
      <w:pPr>
        <w:keepNext w:val="0"/>
        <w:keepLines w:val="0"/>
        <w:pageBreakBefore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（3）如由于成交供应商原因，中途停止供货的，履约保证金不予退还。</w:t>
      </w:r>
    </w:p>
    <w:p w14:paraId="1CA7E693">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质保要求：1年以上。</w:t>
      </w:r>
    </w:p>
    <w:p w14:paraId="6201893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lang w:eastAsia="zh-CN"/>
        </w:rPr>
        <w:t>开标时间、地点：请于</w:t>
      </w:r>
      <w:r>
        <w:rPr>
          <w:rStyle w:val="29"/>
          <w:rFonts w:hint="eastAsia" w:ascii="宋体" w:hAnsi="宋体" w:eastAsia="宋体" w:cs="宋体"/>
          <w:b/>
          <w:bCs/>
          <w:kern w:val="0"/>
          <w:sz w:val="28"/>
          <w:szCs w:val="28"/>
          <w:highlight w:val="none"/>
          <w:u w:val="single"/>
          <w:lang w:eastAsia="zh-CN"/>
        </w:rPr>
        <w:t>2025年</w:t>
      </w:r>
      <w:r>
        <w:rPr>
          <w:rStyle w:val="29"/>
          <w:rFonts w:hint="eastAsia" w:ascii="宋体" w:hAnsi="宋体" w:eastAsia="宋体" w:cs="宋体"/>
          <w:b/>
          <w:bCs/>
          <w:kern w:val="0"/>
          <w:sz w:val="28"/>
          <w:szCs w:val="28"/>
          <w:highlight w:val="none"/>
          <w:u w:val="single"/>
          <w:lang w:val="en-US" w:eastAsia="zh-CN"/>
        </w:rPr>
        <w:t>5</w:t>
      </w:r>
      <w:r>
        <w:rPr>
          <w:rStyle w:val="29"/>
          <w:rFonts w:hint="eastAsia" w:ascii="宋体" w:hAnsi="宋体" w:eastAsia="宋体" w:cs="宋体"/>
          <w:b/>
          <w:bCs/>
          <w:kern w:val="0"/>
          <w:sz w:val="28"/>
          <w:szCs w:val="28"/>
          <w:highlight w:val="none"/>
          <w:u w:val="single"/>
          <w:lang w:eastAsia="zh-CN"/>
        </w:rPr>
        <w:t>月</w:t>
      </w:r>
      <w:r>
        <w:rPr>
          <w:rStyle w:val="29"/>
          <w:rFonts w:hint="eastAsia" w:ascii="宋体" w:hAnsi="宋体" w:eastAsia="宋体" w:cs="宋体"/>
          <w:b/>
          <w:bCs/>
          <w:kern w:val="0"/>
          <w:sz w:val="28"/>
          <w:szCs w:val="28"/>
          <w:highlight w:val="none"/>
          <w:u w:val="single"/>
          <w:lang w:val="en-US" w:eastAsia="zh-CN"/>
        </w:rPr>
        <w:t>21</w:t>
      </w:r>
      <w:r>
        <w:rPr>
          <w:rStyle w:val="29"/>
          <w:rFonts w:hint="eastAsia" w:ascii="宋体" w:hAnsi="宋体" w:eastAsia="宋体" w:cs="宋体"/>
          <w:b/>
          <w:bCs/>
          <w:kern w:val="0"/>
          <w:sz w:val="28"/>
          <w:szCs w:val="28"/>
          <w:highlight w:val="none"/>
          <w:u w:val="single"/>
          <w:lang w:eastAsia="zh-CN"/>
        </w:rPr>
        <w:t>日</w:t>
      </w:r>
      <w:r>
        <w:rPr>
          <w:rStyle w:val="29"/>
          <w:rFonts w:hint="eastAsia" w:ascii="宋体" w:hAnsi="宋体" w:eastAsia="宋体" w:cs="宋体"/>
          <w:b/>
          <w:bCs/>
          <w:kern w:val="0"/>
          <w:sz w:val="28"/>
          <w:szCs w:val="28"/>
          <w:highlight w:val="none"/>
          <w:u w:val="single"/>
          <w:lang w:val="en-US" w:eastAsia="zh-CN"/>
        </w:rPr>
        <w:t>下</w:t>
      </w:r>
      <w:r>
        <w:rPr>
          <w:rStyle w:val="29"/>
          <w:rFonts w:hint="eastAsia" w:ascii="宋体" w:hAnsi="宋体" w:eastAsia="宋体" w:cs="宋体"/>
          <w:b/>
          <w:bCs/>
          <w:kern w:val="0"/>
          <w:sz w:val="28"/>
          <w:szCs w:val="28"/>
          <w:highlight w:val="none"/>
          <w:u w:val="single"/>
          <w:lang w:eastAsia="zh-CN"/>
        </w:rPr>
        <w:t>午</w:t>
      </w:r>
      <w:r>
        <w:rPr>
          <w:rStyle w:val="29"/>
          <w:rFonts w:hint="eastAsia" w:ascii="宋体" w:hAnsi="宋体" w:eastAsia="宋体" w:cs="宋体"/>
          <w:b/>
          <w:bCs/>
          <w:kern w:val="0"/>
          <w:sz w:val="28"/>
          <w:szCs w:val="28"/>
          <w:highlight w:val="none"/>
          <w:u w:val="single"/>
          <w:lang w:val="en-US" w:eastAsia="zh-CN"/>
        </w:rPr>
        <w:t>14</w:t>
      </w:r>
      <w:r>
        <w:rPr>
          <w:rStyle w:val="29"/>
          <w:rFonts w:hint="eastAsia" w:ascii="宋体" w:hAnsi="宋体" w:eastAsia="宋体" w:cs="宋体"/>
          <w:b/>
          <w:bCs/>
          <w:kern w:val="0"/>
          <w:sz w:val="28"/>
          <w:szCs w:val="28"/>
          <w:highlight w:val="none"/>
          <w:u w:val="single"/>
          <w:lang w:eastAsia="zh-CN"/>
        </w:rPr>
        <w:t>:</w:t>
      </w:r>
      <w:r>
        <w:rPr>
          <w:rStyle w:val="29"/>
          <w:rFonts w:hint="eastAsia" w:ascii="宋体" w:hAnsi="宋体" w:eastAsia="宋体" w:cs="宋体"/>
          <w:b/>
          <w:bCs/>
          <w:kern w:val="0"/>
          <w:sz w:val="28"/>
          <w:szCs w:val="28"/>
          <w:highlight w:val="none"/>
          <w:u w:val="single"/>
          <w:lang w:val="en-US" w:eastAsia="zh-CN"/>
        </w:rPr>
        <w:t>3</w:t>
      </w:r>
      <w:r>
        <w:rPr>
          <w:rStyle w:val="29"/>
          <w:rFonts w:hint="eastAsia" w:ascii="宋体" w:hAnsi="宋体" w:eastAsia="宋体" w:cs="宋体"/>
          <w:b/>
          <w:bCs/>
          <w:kern w:val="0"/>
          <w:sz w:val="28"/>
          <w:szCs w:val="28"/>
          <w:highlight w:val="none"/>
          <w:u w:val="single"/>
          <w:lang w:eastAsia="zh-CN"/>
        </w:rPr>
        <w:t>0时</w:t>
      </w:r>
      <w:r>
        <w:rPr>
          <w:rStyle w:val="29"/>
          <w:rFonts w:hint="eastAsia" w:ascii="宋体" w:hAnsi="宋体" w:eastAsia="宋体" w:cs="宋体"/>
          <w:kern w:val="0"/>
          <w:sz w:val="24"/>
          <w:szCs w:val="24"/>
          <w:highlight w:val="none"/>
          <w:lang w:eastAsia="zh-CN"/>
        </w:rPr>
        <w:t>携报价资料在</w:t>
      </w:r>
      <w:r>
        <w:rPr>
          <w:rStyle w:val="29"/>
          <w:rFonts w:hint="eastAsia" w:ascii="宋体" w:hAnsi="宋体" w:eastAsia="宋体" w:cs="宋体"/>
          <w:b/>
          <w:bCs/>
          <w:kern w:val="0"/>
          <w:sz w:val="24"/>
          <w:szCs w:val="24"/>
          <w:highlight w:val="none"/>
          <w:u w:val="single"/>
          <w:lang w:eastAsia="zh-CN"/>
        </w:rPr>
        <w:t>启东市城投集团二楼开标室</w:t>
      </w:r>
      <w:r>
        <w:rPr>
          <w:rStyle w:val="29"/>
          <w:rFonts w:hint="eastAsia" w:ascii="宋体" w:hAnsi="宋体" w:eastAsia="宋体" w:cs="宋体"/>
          <w:kern w:val="0"/>
          <w:sz w:val="24"/>
          <w:szCs w:val="24"/>
          <w:highlight w:val="none"/>
          <w:lang w:eastAsia="zh-CN"/>
        </w:rPr>
        <w:t>参与投标报价。</w:t>
      </w:r>
    </w:p>
    <w:p w14:paraId="39297DA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b w:val="0"/>
          <w:bCs w:val="0"/>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5.</w:t>
      </w:r>
      <w:r>
        <w:rPr>
          <w:rStyle w:val="29"/>
          <w:rFonts w:hint="eastAsia" w:ascii="宋体" w:hAnsi="宋体" w:eastAsia="宋体" w:cs="宋体"/>
          <w:b w:val="0"/>
          <w:bCs w:val="0"/>
          <w:kern w:val="0"/>
          <w:sz w:val="24"/>
          <w:szCs w:val="24"/>
          <w:highlight w:val="none"/>
          <w:lang w:eastAsia="zh-CN"/>
        </w:rPr>
        <w:t>投标资料要求：</w:t>
      </w:r>
    </w:p>
    <w:p w14:paraId="52D7136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single"/>
          <w:lang w:eastAsia="zh-CN"/>
        </w:rPr>
      </w:pPr>
      <w:r>
        <w:rPr>
          <w:rStyle w:val="29"/>
          <w:rFonts w:hint="eastAsia" w:ascii="宋体" w:hAnsi="宋体" w:eastAsia="宋体" w:cs="宋体"/>
          <w:kern w:val="0"/>
          <w:sz w:val="24"/>
          <w:szCs w:val="24"/>
          <w:highlight w:val="none"/>
          <w:lang w:eastAsia="zh-CN"/>
        </w:rPr>
        <w:t>授权委托人须携带</w:t>
      </w:r>
      <w:r>
        <w:rPr>
          <w:rStyle w:val="29"/>
          <w:rFonts w:hint="eastAsia" w:ascii="宋体" w:hAnsi="宋体" w:eastAsia="宋体" w:cs="宋体"/>
          <w:kern w:val="0"/>
          <w:sz w:val="24"/>
          <w:szCs w:val="24"/>
          <w:highlight w:val="none"/>
          <w:u w:val="single"/>
          <w:lang w:eastAsia="zh-CN"/>
        </w:rPr>
        <w:t>企业营业执照复印件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资质证书复印件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授权委托书原件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本人身份证正反面复印件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投标函原件、报价清单（必须按提供的样表格式填写报价，所有涉及报价的页面均必须加盖单位公章，资格审查和报价表须分开密封，否则视为无效报价文件），</w:t>
      </w:r>
      <w:r>
        <w:rPr>
          <w:rStyle w:val="29"/>
          <w:rFonts w:hint="eastAsia" w:ascii="宋体" w:hAnsi="宋体" w:eastAsia="宋体" w:cs="宋体"/>
          <w:kern w:val="0"/>
          <w:sz w:val="24"/>
          <w:szCs w:val="24"/>
          <w:highlight w:val="none"/>
          <w:u w:val="single"/>
          <w:lang w:val="en-US" w:eastAsia="zh-CN"/>
        </w:rPr>
        <w:t>及自2022年以来的供水企业业绩证明（相对应的合同、发票扫描件）</w:t>
      </w:r>
      <w:r>
        <w:rPr>
          <w:rStyle w:val="29"/>
          <w:rFonts w:hint="eastAsia" w:ascii="宋体" w:hAnsi="宋体" w:eastAsia="宋体" w:cs="宋体"/>
          <w:kern w:val="0"/>
          <w:sz w:val="24"/>
          <w:szCs w:val="24"/>
          <w:highlight w:val="none"/>
          <w:u w:val="single"/>
          <w:lang w:eastAsia="zh-CN"/>
        </w:rPr>
        <w:t>以上材料均需加盖投标人公章，投标文件</w:t>
      </w:r>
      <w:r>
        <w:rPr>
          <w:rStyle w:val="29"/>
          <w:rFonts w:hint="eastAsia" w:ascii="宋体" w:hAnsi="宋体" w:eastAsia="宋体" w:cs="宋体"/>
          <w:b w:val="0"/>
          <w:bCs w:val="0"/>
          <w:kern w:val="0"/>
          <w:sz w:val="24"/>
          <w:szCs w:val="24"/>
          <w:highlight w:val="none"/>
          <w:u w:val="single"/>
          <w:lang w:eastAsia="zh-CN"/>
        </w:rPr>
        <w:t>装订成册</w:t>
      </w:r>
      <w:r>
        <w:rPr>
          <w:rStyle w:val="29"/>
          <w:rFonts w:hint="eastAsia" w:ascii="宋体" w:hAnsi="宋体" w:eastAsia="宋体" w:cs="宋体"/>
          <w:kern w:val="0"/>
          <w:sz w:val="24"/>
          <w:szCs w:val="24"/>
          <w:highlight w:val="none"/>
          <w:u w:val="single"/>
          <w:lang w:eastAsia="zh-CN"/>
        </w:rPr>
        <w:t>密封并于封口处加盖投标人公章（不允许使用活页夹、拉杆夹、文件夹、塑料方便式书脊（插入式或穿孔式）装订），密封袋及投标文件封面上标明：招标人名称、项目名称、投标人名称，否则将作废标处理。</w:t>
      </w:r>
    </w:p>
    <w:p w14:paraId="7AB699C7">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none"/>
          <w:lang w:eastAsia="zh-CN"/>
        </w:rPr>
      </w:pPr>
      <w:r>
        <w:rPr>
          <w:rStyle w:val="29"/>
          <w:rFonts w:hint="eastAsia" w:ascii="宋体" w:hAnsi="宋体" w:eastAsia="宋体" w:cs="宋体"/>
          <w:kern w:val="0"/>
          <w:sz w:val="24"/>
          <w:szCs w:val="24"/>
          <w:highlight w:val="none"/>
          <w:u w:val="none"/>
          <w:lang w:eastAsia="zh-CN"/>
        </w:rPr>
        <w:t>注：提供复印件的材料应提供原件备查。</w:t>
      </w:r>
    </w:p>
    <w:p w14:paraId="2D81D366">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6.</w:t>
      </w:r>
      <w:r>
        <w:rPr>
          <w:rStyle w:val="29"/>
          <w:rFonts w:hint="eastAsia" w:ascii="宋体" w:hAnsi="宋体" w:eastAsia="宋体" w:cs="宋体"/>
          <w:kern w:val="0"/>
          <w:sz w:val="24"/>
          <w:szCs w:val="24"/>
          <w:highlight w:val="none"/>
          <w:lang w:eastAsia="zh-CN"/>
        </w:rPr>
        <w:t>报价要求：</w:t>
      </w:r>
    </w:p>
    <w:p w14:paraId="375177D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eastAsia="zh-CN"/>
        </w:rPr>
        <w:t>本项目招标控制价（含税）为人民币</w:t>
      </w:r>
      <w:r>
        <w:rPr>
          <w:rStyle w:val="29"/>
          <w:rFonts w:hint="eastAsia" w:ascii="宋体" w:hAnsi="宋体" w:eastAsia="宋体" w:cs="宋体"/>
          <w:kern w:val="0"/>
          <w:sz w:val="24"/>
          <w:szCs w:val="24"/>
          <w:highlight w:val="none"/>
          <w:u w:val="single"/>
          <w:lang w:val="en-US" w:eastAsia="zh-CN"/>
        </w:rPr>
        <w:t>92948.00</w:t>
      </w:r>
      <w:r>
        <w:rPr>
          <w:rStyle w:val="29"/>
          <w:rFonts w:hint="eastAsia" w:ascii="宋体" w:hAnsi="宋体" w:eastAsia="宋体" w:cs="宋体"/>
          <w:kern w:val="0"/>
          <w:sz w:val="24"/>
          <w:szCs w:val="24"/>
          <w:highlight w:val="none"/>
          <w:u w:val="single"/>
          <w:lang w:eastAsia="zh-CN"/>
        </w:rPr>
        <w:t>元</w:t>
      </w:r>
      <w:r>
        <w:rPr>
          <w:rStyle w:val="29"/>
          <w:rFonts w:hint="eastAsia" w:ascii="宋体" w:hAnsi="宋体" w:eastAsia="宋体" w:cs="宋体"/>
          <w:kern w:val="0"/>
          <w:sz w:val="24"/>
          <w:szCs w:val="24"/>
          <w:highlight w:val="none"/>
          <w:lang w:eastAsia="zh-CN"/>
        </w:rPr>
        <w:t>（大写：</w:t>
      </w:r>
      <w:r>
        <w:rPr>
          <w:rStyle w:val="29"/>
          <w:rFonts w:hint="eastAsia" w:ascii="宋体" w:hAnsi="宋体" w:eastAsia="宋体" w:cs="宋体"/>
          <w:kern w:val="0"/>
          <w:sz w:val="24"/>
          <w:szCs w:val="24"/>
          <w:highlight w:val="none"/>
          <w:u w:val="single"/>
          <w:lang w:val="en-US" w:eastAsia="zh-CN"/>
        </w:rPr>
        <w:t>玖万贰仟玖佰肆拾捌元</w:t>
      </w:r>
      <w:r>
        <w:rPr>
          <w:rStyle w:val="29"/>
          <w:rFonts w:hint="eastAsia" w:ascii="宋体" w:hAnsi="宋体" w:eastAsia="宋体" w:cs="宋体"/>
          <w:kern w:val="0"/>
          <w:sz w:val="24"/>
          <w:szCs w:val="24"/>
          <w:highlight w:val="none"/>
          <w:u w:val="single"/>
          <w:lang w:eastAsia="zh-CN"/>
        </w:rPr>
        <w:t>整</w:t>
      </w:r>
      <w:r>
        <w:rPr>
          <w:rStyle w:val="29"/>
          <w:rFonts w:hint="eastAsia" w:ascii="宋体" w:hAnsi="宋体" w:eastAsia="宋体" w:cs="宋体"/>
          <w:kern w:val="0"/>
          <w:sz w:val="24"/>
          <w:szCs w:val="24"/>
          <w:highlight w:val="none"/>
          <w:lang w:eastAsia="zh-CN"/>
        </w:rPr>
        <w:t xml:space="preserve">），高于或等于招标控制价的为无效报价，最低价中标。投标报价保留两位小数，否则为无效报价，作废标处理。 </w:t>
      </w:r>
    </w:p>
    <w:p w14:paraId="5E26F5D0">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7.</w:t>
      </w:r>
      <w:r>
        <w:rPr>
          <w:rStyle w:val="29"/>
          <w:rFonts w:hint="eastAsia" w:ascii="宋体" w:hAnsi="宋体" w:eastAsia="宋体" w:cs="宋体"/>
          <w:color w:val="auto"/>
          <w:kern w:val="0"/>
          <w:sz w:val="24"/>
          <w:szCs w:val="24"/>
          <w:highlight w:val="none"/>
        </w:rPr>
        <w:t>报价费用说明：</w:t>
      </w:r>
    </w:p>
    <w:p w14:paraId="67AE239A">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7D98784E">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8</w:t>
      </w:r>
      <w:r>
        <w:rPr>
          <w:rStyle w:val="29"/>
          <w:rFonts w:hint="eastAsia" w:ascii="宋体" w:hAnsi="宋体" w:cs="宋体"/>
          <w:color w:val="auto"/>
          <w:kern w:val="0"/>
          <w:sz w:val="24"/>
          <w:szCs w:val="24"/>
          <w:highlight w:val="none"/>
          <w:lang w:val="en-US" w:eastAsia="zh-CN" w:bidi="ar-SA"/>
        </w:rPr>
        <w:t>.</w:t>
      </w:r>
      <w:r>
        <w:rPr>
          <w:rStyle w:val="29"/>
          <w:rFonts w:hint="eastAsia" w:ascii="宋体" w:hAnsi="宋体" w:eastAsia="宋体" w:cs="宋体"/>
          <w:color w:val="auto"/>
          <w:kern w:val="0"/>
          <w:sz w:val="24"/>
          <w:szCs w:val="24"/>
          <w:highlight w:val="none"/>
          <w:lang w:val="en-US" w:eastAsia="zh-CN" w:bidi="ar-SA"/>
        </w:rPr>
        <w:t>付款方式：</w:t>
      </w:r>
    </w:p>
    <w:p w14:paraId="262E9DF4">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（1）采购资金的支付方式：银行转账，由采购人按相关财务支付规定办理支付手续。</w:t>
      </w:r>
    </w:p>
    <w:p w14:paraId="535EB173">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（2）采购资金的支付时间、条件：</w:t>
      </w:r>
    </w:p>
    <w:p w14:paraId="097C8646">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727BA1BE">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302069D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7822C62D">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w:t>
      </w:r>
      <w:r>
        <w:rPr>
          <w:rStyle w:val="29"/>
          <w:rFonts w:hint="eastAsia" w:ascii="宋体" w:hAnsi="宋体" w:eastAsia="宋体" w:cs="宋体"/>
          <w:color w:val="auto"/>
          <w:kern w:val="0"/>
          <w:sz w:val="24"/>
          <w:szCs w:val="24"/>
          <w:highlight w:val="none"/>
          <w:lang w:val="zh-CN" w:eastAsia="zh-CN" w:bidi="ar-SA"/>
        </w:rPr>
        <w:t>当成交供应商放弃</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、因不可抗力不能履行合同、不按照</w:t>
      </w:r>
      <w:r>
        <w:rPr>
          <w:rStyle w:val="29"/>
          <w:rFonts w:hint="eastAsia" w:ascii="宋体" w:hAnsi="宋体" w:eastAsia="宋体" w:cs="宋体"/>
          <w:color w:val="auto"/>
          <w:kern w:val="0"/>
          <w:sz w:val="24"/>
          <w:szCs w:val="24"/>
          <w:highlight w:val="none"/>
          <w:lang w:val="en-US" w:eastAsia="zh-CN" w:bidi="ar-SA"/>
        </w:rPr>
        <w:t>询价</w:t>
      </w:r>
      <w:r>
        <w:rPr>
          <w:rStyle w:val="29"/>
          <w:rFonts w:hint="eastAsia" w:ascii="宋体" w:hAnsi="宋体" w:eastAsia="宋体" w:cs="宋体"/>
          <w:color w:val="auto"/>
          <w:kern w:val="0"/>
          <w:sz w:val="24"/>
          <w:szCs w:val="24"/>
          <w:highlight w:val="none"/>
          <w:lang w:val="zh-CN" w:eastAsia="zh-CN" w:bidi="ar-SA"/>
        </w:rPr>
        <w:t>文件要求提交履约保证金，或者被查实存在影响</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结果的违法行为等情形，不符合</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条件的，采购人可依法重新招标。</w:t>
      </w:r>
      <w:r>
        <w:rPr>
          <w:rStyle w:val="29"/>
          <w:rFonts w:hint="eastAsia" w:ascii="宋体" w:hAnsi="宋体" w:eastAsia="宋体" w:cs="宋体"/>
          <w:color w:val="auto"/>
          <w:kern w:val="0"/>
          <w:sz w:val="24"/>
          <w:szCs w:val="24"/>
          <w:highlight w:val="none"/>
          <w:lang w:val="en-US" w:eastAsia="zh-CN" w:bidi="ar-SA"/>
        </w:rPr>
        <w:t>（5）合同期限:自合同签订之日起壹年或采购金额满合同价后合同终止。</w:t>
      </w:r>
    </w:p>
    <w:p w14:paraId="66EC6C52">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Style w:val="29"/>
          <w:rFonts w:hint="eastAsia" w:ascii="宋体" w:hAnsi="宋体" w:eastAsia="宋体" w:cs="宋体"/>
          <w:kern w:val="0"/>
          <w:sz w:val="24"/>
          <w:szCs w:val="24"/>
          <w:highlight w:val="none"/>
          <w:lang w:val="en-US" w:eastAsia="zh-CN" w:bidi="ar-SA"/>
        </w:rPr>
      </w:pPr>
    </w:p>
    <w:p w14:paraId="36B64760">
      <w:pPr>
        <w:rPr>
          <w:rFonts w:hint="eastAsia"/>
          <w:lang w:val="en-US" w:eastAsia="zh-CN"/>
        </w:rPr>
      </w:pPr>
    </w:p>
    <w:p w14:paraId="452FDC05">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16B676F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 xml:space="preserve">                                                       2025年5月14日</w:t>
      </w:r>
    </w:p>
    <w:p w14:paraId="425E89E7">
      <w:pPr>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br w:type="page"/>
      </w: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0B1B6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钢制双法兰限位伸缩节2025-2026年度采购项目报价清单</w:t>
      </w:r>
    </w:p>
    <w:tbl>
      <w:tblPr>
        <w:tblStyle w:val="18"/>
        <w:tblW w:w="9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2824"/>
        <w:gridCol w:w="1110"/>
        <w:gridCol w:w="975"/>
        <w:gridCol w:w="1065"/>
        <w:gridCol w:w="975"/>
        <w:gridCol w:w="1155"/>
        <w:gridCol w:w="1046"/>
      </w:tblGrid>
      <w:tr w14:paraId="6C55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43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 号</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19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ED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4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1D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F7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w:t>
            </w:r>
          </w:p>
        </w:tc>
        <w:tc>
          <w:tcPr>
            <w:tcW w:w="1155" w:type="dxa"/>
            <w:tcBorders>
              <w:top w:val="single" w:color="000000" w:sz="4" w:space="0"/>
              <w:left w:val="single" w:color="000000" w:sz="4" w:space="0"/>
              <w:bottom w:val="single" w:color="000000" w:sz="4" w:space="0"/>
              <w:right w:val="nil"/>
            </w:tcBorders>
            <w:shd w:val="clear" w:color="auto" w:fill="auto"/>
            <w:vAlign w:val="center"/>
          </w:tcPr>
          <w:p w14:paraId="0BD303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F1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06B2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3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D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3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0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0AF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117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24600</w:t>
            </w:r>
          </w:p>
        </w:tc>
        <w:tc>
          <w:tcPr>
            <w:tcW w:w="1046" w:type="dxa"/>
            <w:vMerge w:val="restart"/>
            <w:tcBorders>
              <w:top w:val="single" w:color="000000" w:sz="4" w:space="0"/>
              <w:left w:val="single" w:color="000000" w:sz="4" w:space="0"/>
              <w:right w:val="single" w:color="000000" w:sz="4" w:space="0"/>
            </w:tcBorders>
            <w:shd w:val="clear" w:color="auto" w:fill="auto"/>
            <w:vAlign w:val="center"/>
          </w:tcPr>
          <w:p w14:paraId="4B14AAF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5515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B53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5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E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460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1B5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87A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12000</w:t>
            </w:r>
          </w:p>
        </w:tc>
        <w:tc>
          <w:tcPr>
            <w:tcW w:w="1046" w:type="dxa"/>
            <w:vMerge w:val="continue"/>
            <w:tcBorders>
              <w:left w:val="single" w:color="000000" w:sz="4" w:space="0"/>
              <w:right w:val="single" w:color="000000" w:sz="4" w:space="0"/>
            </w:tcBorders>
            <w:shd w:val="clear" w:color="auto" w:fill="auto"/>
            <w:vAlign w:val="center"/>
          </w:tcPr>
          <w:p w14:paraId="214347B0">
            <w:pPr>
              <w:jc w:val="center"/>
              <w:rPr>
                <w:rFonts w:hint="eastAsia" w:ascii="宋体" w:hAnsi="宋体" w:eastAsia="宋体" w:cs="宋体"/>
                <w:i w:val="0"/>
                <w:iCs w:val="0"/>
                <w:color w:val="000000"/>
                <w:sz w:val="22"/>
                <w:szCs w:val="22"/>
                <w:u w:val="none"/>
              </w:rPr>
            </w:pPr>
          </w:p>
        </w:tc>
      </w:tr>
      <w:tr w14:paraId="293C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3B3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4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9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A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A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478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1388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1F3A">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5552</w:t>
            </w:r>
          </w:p>
        </w:tc>
        <w:tc>
          <w:tcPr>
            <w:tcW w:w="1046" w:type="dxa"/>
            <w:vMerge w:val="continue"/>
            <w:tcBorders>
              <w:left w:val="single" w:color="000000" w:sz="4" w:space="0"/>
              <w:right w:val="single" w:color="000000" w:sz="4" w:space="0"/>
            </w:tcBorders>
            <w:shd w:val="clear" w:color="auto" w:fill="auto"/>
            <w:vAlign w:val="center"/>
          </w:tcPr>
          <w:p w14:paraId="4BE01DF0">
            <w:pPr>
              <w:jc w:val="center"/>
              <w:rPr>
                <w:rFonts w:hint="eastAsia" w:ascii="宋体" w:hAnsi="宋体" w:eastAsia="宋体" w:cs="宋体"/>
                <w:i w:val="0"/>
                <w:iCs w:val="0"/>
                <w:color w:val="000000"/>
                <w:sz w:val="22"/>
                <w:szCs w:val="22"/>
                <w:u w:val="none"/>
              </w:rPr>
            </w:pPr>
          </w:p>
        </w:tc>
      </w:tr>
      <w:tr w14:paraId="6BD1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370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B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5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3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0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054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2958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7F2C">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5916</w:t>
            </w:r>
          </w:p>
        </w:tc>
        <w:tc>
          <w:tcPr>
            <w:tcW w:w="1046" w:type="dxa"/>
            <w:vMerge w:val="continue"/>
            <w:tcBorders>
              <w:left w:val="single" w:color="000000" w:sz="4" w:space="0"/>
              <w:right w:val="single" w:color="000000" w:sz="4" w:space="0"/>
            </w:tcBorders>
            <w:shd w:val="clear" w:color="auto" w:fill="auto"/>
            <w:vAlign w:val="center"/>
          </w:tcPr>
          <w:p w14:paraId="3215325A">
            <w:pPr>
              <w:jc w:val="center"/>
              <w:rPr>
                <w:rFonts w:hint="eastAsia" w:ascii="宋体" w:hAnsi="宋体" w:eastAsia="宋体" w:cs="宋体"/>
                <w:i w:val="0"/>
                <w:iCs w:val="0"/>
                <w:color w:val="000000"/>
                <w:sz w:val="22"/>
                <w:szCs w:val="22"/>
                <w:u w:val="none"/>
              </w:rPr>
            </w:pPr>
          </w:p>
        </w:tc>
      </w:tr>
      <w:tr w14:paraId="5CB9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C8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6E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05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D4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E6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EC7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3876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3EE1">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7752</w:t>
            </w:r>
          </w:p>
        </w:tc>
        <w:tc>
          <w:tcPr>
            <w:tcW w:w="1046" w:type="dxa"/>
            <w:vMerge w:val="continue"/>
            <w:tcBorders>
              <w:left w:val="single" w:color="000000" w:sz="4" w:space="0"/>
              <w:right w:val="single" w:color="000000" w:sz="4" w:space="0"/>
            </w:tcBorders>
            <w:shd w:val="clear" w:color="auto" w:fill="auto"/>
            <w:vAlign w:val="center"/>
          </w:tcPr>
          <w:p w14:paraId="3981BEAC">
            <w:pPr>
              <w:jc w:val="center"/>
              <w:rPr>
                <w:rFonts w:hint="eastAsia" w:ascii="宋体" w:hAnsi="宋体" w:eastAsia="宋体" w:cs="宋体"/>
                <w:i w:val="0"/>
                <w:iCs w:val="0"/>
                <w:color w:val="000000"/>
                <w:sz w:val="22"/>
                <w:szCs w:val="22"/>
                <w:u w:val="none"/>
              </w:rPr>
            </w:pPr>
          </w:p>
        </w:tc>
      </w:tr>
      <w:tr w14:paraId="728A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CD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C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9C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DN900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4C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BB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FAC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8568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F82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17136</w:t>
            </w:r>
          </w:p>
        </w:tc>
        <w:tc>
          <w:tcPr>
            <w:tcW w:w="1046" w:type="dxa"/>
            <w:vMerge w:val="continue"/>
            <w:tcBorders>
              <w:left w:val="single" w:color="000000" w:sz="4" w:space="0"/>
              <w:right w:val="single" w:color="000000" w:sz="4" w:space="0"/>
            </w:tcBorders>
            <w:shd w:val="clear" w:color="auto" w:fill="auto"/>
            <w:vAlign w:val="center"/>
          </w:tcPr>
          <w:p w14:paraId="2DC39ACB">
            <w:pPr>
              <w:jc w:val="center"/>
              <w:rPr>
                <w:rFonts w:hint="eastAsia" w:ascii="宋体" w:hAnsi="宋体" w:eastAsia="宋体" w:cs="宋体"/>
                <w:i w:val="0"/>
                <w:iCs w:val="0"/>
                <w:color w:val="000000"/>
                <w:sz w:val="22"/>
                <w:szCs w:val="22"/>
                <w:u w:val="none"/>
              </w:rPr>
            </w:pPr>
          </w:p>
        </w:tc>
      </w:tr>
      <w:tr w14:paraId="12D1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8E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06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CD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07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29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80B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9996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3325">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19992</w:t>
            </w:r>
          </w:p>
        </w:tc>
        <w:tc>
          <w:tcPr>
            <w:tcW w:w="1046" w:type="dxa"/>
            <w:vMerge w:val="continue"/>
            <w:tcBorders>
              <w:left w:val="single" w:color="000000" w:sz="4" w:space="0"/>
              <w:bottom w:val="nil"/>
              <w:right w:val="single" w:color="000000" w:sz="4" w:space="0"/>
            </w:tcBorders>
            <w:shd w:val="clear" w:color="auto" w:fill="auto"/>
            <w:vAlign w:val="center"/>
          </w:tcPr>
          <w:p w14:paraId="6702BE0B">
            <w:pPr>
              <w:jc w:val="center"/>
              <w:rPr>
                <w:rFonts w:hint="eastAsia" w:ascii="宋体" w:hAnsi="宋体" w:eastAsia="宋体" w:cs="宋体"/>
                <w:i w:val="0"/>
                <w:iCs w:val="0"/>
                <w:color w:val="000000"/>
                <w:sz w:val="22"/>
                <w:szCs w:val="22"/>
                <w:u w:val="none"/>
              </w:rPr>
            </w:pPr>
          </w:p>
        </w:tc>
      </w:tr>
      <w:tr w14:paraId="189F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9E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总价最高限价</w:t>
            </w:r>
          </w:p>
          <w:p w14:paraId="21364D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（人民币元）</w:t>
            </w:r>
          </w:p>
        </w:tc>
        <w:tc>
          <w:tcPr>
            <w:tcW w:w="52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EA2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大写：玖万贰仟玖佰肆拾捌元整</w:t>
            </w:r>
          </w:p>
          <w:p w14:paraId="6093D7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小写：92948.00元</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81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2、未被“信用中国”、</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中国政府采购网</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信用江苏</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hint="eastAsia" w:ascii="宋体" w:hAnsi="宋体" w:eastAsia="宋体" w:cs="宋体"/>
                <w:b w:val="0"/>
                <w:bCs w:val="0"/>
                <w:i w:val="0"/>
                <w:iCs w:val="0"/>
                <w:color w:val="000000"/>
                <w:kern w:val="0"/>
                <w:sz w:val="24"/>
                <w:szCs w:val="24"/>
                <w:u w:val="none"/>
                <w:lang w:val="en-US" w:eastAsia="zh-CN" w:bidi="ar"/>
              </w:rPr>
              <w:t>网站列入失信被执行人、重大税收违法案件当事人名单、政府采购严重失信行为记录名单</w:t>
            </w:r>
            <w:r>
              <w:rPr>
                <w:rFonts w:hint="eastAsia" w:ascii="宋体" w:hAnsi="宋体" w:eastAsia="宋体" w:cs="宋体"/>
                <w:b/>
                <w:bCs/>
                <w:i w:val="0"/>
                <w:iCs w:val="0"/>
                <w:color w:val="000000"/>
                <w:kern w:val="0"/>
                <w:sz w:val="24"/>
                <w:szCs w:val="24"/>
                <w:u w:val="none"/>
                <w:lang w:val="en-US" w:eastAsia="zh-CN" w:bidi="ar"/>
              </w:rPr>
              <w:t>(提供网页截图)</w:t>
            </w:r>
            <w:r>
              <w:rPr>
                <w:rFonts w:hint="eastAsia" w:ascii="宋体" w:hAnsi="宋体" w:eastAsia="宋体" w:cs="宋体"/>
                <w:b w:val="0"/>
                <w:bCs w:val="0"/>
                <w:i w:val="0"/>
                <w:iCs w:val="0"/>
                <w:color w:val="000000"/>
                <w:kern w:val="0"/>
                <w:sz w:val="24"/>
                <w:szCs w:val="24"/>
                <w:u w:val="none"/>
                <w:lang w:val="en-US" w:eastAsia="zh-CN" w:bidi="ar"/>
              </w:rPr>
              <w:t>；</w:t>
            </w:r>
          </w:p>
          <w:p w14:paraId="27424DF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3、投标人应为在中华人民共和国境内注册的货物制造商或经销商，提供本项目中所采购的货物及服务，提供有效的营业执照；</w:t>
            </w:r>
          </w:p>
          <w:p w14:paraId="22B9630B">
            <w:pPr>
              <w:pStyle w:val="2"/>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4、投标人应提供省级及以上由卫生行政主管部门颁发的涉及饮用水卫生安全产品卫生许可批件；</w:t>
            </w:r>
          </w:p>
          <w:p w14:paraId="6A3F04A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5、报价人提供的投标产品有2022年以来质量监督检测中心出具的检验报告；</w:t>
            </w:r>
          </w:p>
          <w:p w14:paraId="6057303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6、报价人提供自2022年以来的供水企业业绩证明（相对应的合同、发票扫描件，加盖公章）；</w:t>
            </w:r>
          </w:p>
          <w:p w14:paraId="60890A30">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r>
              <w:rPr>
                <w:rFonts w:hint="default" w:ascii="宋体" w:hAnsi="宋体" w:eastAsia="宋体" w:cs="宋体"/>
                <w:b w:val="0"/>
                <w:bCs w:val="0"/>
                <w:i w:val="0"/>
                <w:iCs w:val="0"/>
                <w:color w:val="000000"/>
                <w:kern w:val="0"/>
                <w:sz w:val="24"/>
                <w:szCs w:val="24"/>
                <w:u w:val="none"/>
                <w:lang w:val="en-US" w:eastAsia="zh-CN" w:bidi="ar"/>
              </w:rPr>
              <w:t>、禁止情形：</w:t>
            </w:r>
          </w:p>
          <w:p w14:paraId="6F4F3B6E">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拒绝以下投标人参与投标：</w:t>
            </w:r>
          </w:p>
          <w:p w14:paraId="48B33820">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（1）单位负责人为同一人或者存在直接控股、管理关系的不同投标人，不得参加同一合同项下的政府采购活动。</w:t>
            </w:r>
          </w:p>
          <w:p w14:paraId="25A70E8D">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（2）为采购项目提供整体设计、规范编制或者项目管理、监理、检测等服务的投标人，不得再参加本采购项目的其他采购活动。</w:t>
            </w:r>
          </w:p>
          <w:p w14:paraId="4E9CBCB8">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二、材料标准及要求</w:t>
            </w:r>
          </w:p>
          <w:p w14:paraId="4A501EA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（一）产品制造、安装及检验标准</w:t>
            </w:r>
          </w:p>
          <w:p w14:paraId="6EA2B3F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1、设计标准：GB/T12465-2007《管道补偿接头》</w:t>
            </w:r>
          </w:p>
          <w:p w14:paraId="7EE3A4D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2、制造标准：GB12220-1989《通用阀门标志》</w:t>
            </w:r>
          </w:p>
          <w:p w14:paraId="7B34A959">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GB/T12252-1989《通用阀门 供货要求》</w:t>
            </w:r>
          </w:p>
          <w:p w14:paraId="798D9EE2">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GB191-2000《包装储运图示标志》</w:t>
            </w:r>
          </w:p>
          <w:p w14:paraId="138C348C">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JB/T106-2004《阀门的标志和油漆》</w:t>
            </w:r>
          </w:p>
          <w:p w14:paraId="6B9363BF">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GB/T12227《通用阀门球墨铸件技术条件》</w:t>
            </w:r>
          </w:p>
          <w:p w14:paraId="164168B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3、试验标准：GB/T12465-2007《管道补偿接头》</w:t>
            </w:r>
          </w:p>
          <w:p w14:paraId="5BF8E497">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GB/T13927-1992《通用阀门 压力试验》</w:t>
            </w:r>
          </w:p>
          <w:p w14:paraId="0743B99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4、结构长度标准：GB/T12221-2005《金属阀门 结构长度》</w:t>
            </w:r>
          </w:p>
          <w:p w14:paraId="21DE7D7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5、连接法兰标准：GB/T17241.6-1998《整体铸铁管法兰》</w:t>
            </w:r>
          </w:p>
          <w:p w14:paraId="0706258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6、材料标准：JB/T5300-2008《工业阀门材料选用导则》</w:t>
            </w:r>
          </w:p>
          <w:p w14:paraId="29E7FF81">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GB/T1220-2007《不锈钢棒》</w:t>
            </w:r>
          </w:p>
          <w:p w14:paraId="10F6C604">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HG/T3091-2000《橡胶密封件给排水管及污水管道用接口密封圈材料规范》</w:t>
            </w:r>
          </w:p>
          <w:p w14:paraId="3657FBA6">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GB/T18593-2001《熔融结合环氧粉末涂料的防腐蚀涂装》</w:t>
            </w:r>
          </w:p>
          <w:p w14:paraId="6159C27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（二）双法兰限位伸缩节技术说明</w:t>
            </w:r>
          </w:p>
          <w:p w14:paraId="57395EA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1、性能特点</w:t>
            </w:r>
          </w:p>
          <w:p w14:paraId="75F25E00">
            <w:pPr>
              <w:keepNext w:val="0"/>
              <w:keepLines w:val="0"/>
              <w:widowControl/>
              <w:suppressLineNumbers w:val="0"/>
              <w:spacing w:line="240" w:lineRule="auto"/>
              <w:ind w:firstLine="480" w:firstLineChars="2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伸缩接头能补偿管道一定范围内的位移、错位和挠曲，并可在拆装阀门时提供间隙。限位伸缩接头是在松套伸缩接头原有性能的基础上，增设限位装置，在最大伸缩量处用双螺母锁定。这样就实现管道在允许的伸缩量中可以自由伸缩，一旦超过最大伸缩量，就起到限位作用，有效的确保管道安全运行。</w:t>
            </w:r>
          </w:p>
          <w:p w14:paraId="1D5585E5">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设备零件应采用公制，其公制公差符合国家标准GB1184《形状和位置公差未注公差的规定》和GB193《普通螺纹直径与螺距系列》，相同部件具有互换性，外观无缺陷，密封性能符合要求。</w:t>
            </w:r>
          </w:p>
          <w:p w14:paraId="5709E972">
            <w:pPr>
              <w:keepNext w:val="0"/>
              <w:keepLines w:val="0"/>
              <w:widowControl/>
              <w:suppressLineNumbers w:val="0"/>
              <w:spacing w:line="240" w:lineRule="auto"/>
              <w:ind w:firstLine="480" w:firstLineChars="2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内、外防腐（除精加工表面和补偿接头的密封座）均采用静电喷涂环氧树脂粉末工艺；涂层厚度不大于 0.1mm，但不小于 0.08mm。喷涂前必须进行喷砂除锈，喷砂除锈应按 SISO55900 标准进行；除锈应达 Sa2.5 级。当设备安装后由于各种原因需要再次喷涂时，供货方须按照需方要求完成现场防腐。</w:t>
            </w:r>
          </w:p>
          <w:p w14:paraId="1DDB2F50">
            <w:pPr>
              <w:keepNext w:val="0"/>
              <w:keepLines w:val="0"/>
              <w:widowControl/>
              <w:suppressLineNumbers w:val="0"/>
              <w:spacing w:line="240" w:lineRule="auto"/>
              <w:ind w:firstLine="480" w:firstLineChars="2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主要用于蝶阀、闸阀、球阀、截止阀、止回阀等各种管道的连接。</w:t>
            </w:r>
          </w:p>
          <w:p w14:paraId="129D2A0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2、制造检验标准 </w:t>
            </w:r>
          </w:p>
          <w:p w14:paraId="0E354FB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（1）接头的设计、制造和验收应严格按 GB/T12465-2007《管路补偿接头》进行；铸件应严格按GB/T12227《通用阀门球墨铸件技术条件》进行。球化度不得低于 4 级。</w:t>
            </w:r>
          </w:p>
          <w:p w14:paraId="3A5AF19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（2）所有伸缩接头在发货前必须进行工厂检查和试验。供货商于试验前七天通知业主派代表参加试验。</w:t>
            </w:r>
          </w:p>
          <w:p w14:paraId="4D9D099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（3）同一类型的全部伸缩接头由同一生产厂家提供，同一型号伸缩接头的零部件、易损件能互换。</w:t>
            </w:r>
          </w:p>
          <w:p w14:paraId="1731089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（4）伸缩和传力接头的工作压力为 1.0Mpa，其设计制作符合 GB12465-2007标准。</w:t>
            </w:r>
          </w:p>
          <w:p w14:paraId="64353B7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3、伸缩接头材质</w:t>
            </w:r>
          </w:p>
          <w:p w14:paraId="293777D3">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本体：QT400-15</w:t>
            </w:r>
          </w:p>
          <w:p w14:paraId="5267EAB7">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压盖：QT400-15</w:t>
            </w:r>
          </w:p>
          <w:p w14:paraId="405E6C25">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限位法兰短管：Q235B</w:t>
            </w:r>
          </w:p>
          <w:p w14:paraId="32C59744">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密封圈：采用三元乙丙</w:t>
            </w:r>
          </w:p>
          <w:p w14:paraId="7F04BB31">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紧固件：碳钢镀锌处理</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tc>
      </w:tr>
    </w:tbl>
    <w:p w14:paraId="40D2402A">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联</w:t>
      </w:r>
      <w:r>
        <w:rPr>
          <w:rFonts w:hint="eastAsia" w:ascii="宋体" w:hAnsi="宋体"/>
          <w:b/>
          <w:color w:val="000000"/>
          <w:sz w:val="28"/>
          <w:szCs w:val="28"/>
          <w:lang w:val="en-US" w:eastAsia="zh-CN"/>
        </w:rPr>
        <w:t xml:space="preserve"> </w:t>
      </w:r>
      <w:r>
        <w:rPr>
          <w:rFonts w:hint="eastAsia" w:ascii="宋体" w:hAnsi="宋体"/>
          <w:b/>
          <w:color w:val="000000"/>
          <w:sz w:val="28"/>
          <w:szCs w:val="28"/>
        </w:rPr>
        <w:t>系</w:t>
      </w:r>
      <w:r>
        <w:rPr>
          <w:rFonts w:hint="eastAsia" w:ascii="宋体" w:hAnsi="宋体"/>
          <w:b/>
          <w:color w:val="000000"/>
          <w:sz w:val="28"/>
          <w:szCs w:val="28"/>
          <w:lang w:val="en-US" w:eastAsia="zh-CN"/>
        </w:rPr>
        <w:t xml:space="preserve"> </w:t>
      </w:r>
      <w:r>
        <w:rPr>
          <w:rFonts w:hint="eastAsia" w:ascii="宋体" w:hAnsi="宋体"/>
          <w:b/>
          <w:color w:val="000000"/>
          <w:sz w:val="28"/>
          <w:szCs w:val="28"/>
        </w:rPr>
        <w:t xml:space="preserve">人：       </w:t>
      </w:r>
    </w:p>
    <w:p w14:paraId="092C7C99">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213" w:right="1080" w:bottom="1213"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214EA0"/>
    <w:rsid w:val="03EC63FF"/>
    <w:rsid w:val="04167BE0"/>
    <w:rsid w:val="04FE1868"/>
    <w:rsid w:val="055210FB"/>
    <w:rsid w:val="060F014D"/>
    <w:rsid w:val="064F49ED"/>
    <w:rsid w:val="06C9698C"/>
    <w:rsid w:val="06DE411B"/>
    <w:rsid w:val="081F710D"/>
    <w:rsid w:val="08767CBA"/>
    <w:rsid w:val="08FF471C"/>
    <w:rsid w:val="09CE1802"/>
    <w:rsid w:val="0A432ABB"/>
    <w:rsid w:val="0ADA1283"/>
    <w:rsid w:val="0B79760A"/>
    <w:rsid w:val="0B837613"/>
    <w:rsid w:val="0C807FF6"/>
    <w:rsid w:val="0C922E30"/>
    <w:rsid w:val="0CC71BAC"/>
    <w:rsid w:val="0D18108F"/>
    <w:rsid w:val="0D2E723D"/>
    <w:rsid w:val="0D9A7247"/>
    <w:rsid w:val="0ECC1828"/>
    <w:rsid w:val="0EE36B7D"/>
    <w:rsid w:val="0F0243F5"/>
    <w:rsid w:val="0F647E59"/>
    <w:rsid w:val="0F6618B1"/>
    <w:rsid w:val="10717803"/>
    <w:rsid w:val="108154AD"/>
    <w:rsid w:val="12B467E8"/>
    <w:rsid w:val="12EA747F"/>
    <w:rsid w:val="13121E77"/>
    <w:rsid w:val="13455F77"/>
    <w:rsid w:val="13960100"/>
    <w:rsid w:val="13F434BA"/>
    <w:rsid w:val="141D6DA0"/>
    <w:rsid w:val="14AA41AE"/>
    <w:rsid w:val="15747FCD"/>
    <w:rsid w:val="15B72A35"/>
    <w:rsid w:val="15C50828"/>
    <w:rsid w:val="17163249"/>
    <w:rsid w:val="175207E1"/>
    <w:rsid w:val="181E2472"/>
    <w:rsid w:val="183C6614"/>
    <w:rsid w:val="188C326C"/>
    <w:rsid w:val="199470D8"/>
    <w:rsid w:val="1A02204B"/>
    <w:rsid w:val="1A7B67AD"/>
    <w:rsid w:val="1A850712"/>
    <w:rsid w:val="1B932687"/>
    <w:rsid w:val="1BCA6B98"/>
    <w:rsid w:val="1C82447C"/>
    <w:rsid w:val="1CAC06B2"/>
    <w:rsid w:val="1E8B21FB"/>
    <w:rsid w:val="1F291E28"/>
    <w:rsid w:val="1F375139"/>
    <w:rsid w:val="21814159"/>
    <w:rsid w:val="21B700C7"/>
    <w:rsid w:val="21B7196D"/>
    <w:rsid w:val="221847B8"/>
    <w:rsid w:val="2262713B"/>
    <w:rsid w:val="228D26CE"/>
    <w:rsid w:val="22CA2753"/>
    <w:rsid w:val="240E2A35"/>
    <w:rsid w:val="24BA1822"/>
    <w:rsid w:val="251A293E"/>
    <w:rsid w:val="257C6C31"/>
    <w:rsid w:val="261C6242"/>
    <w:rsid w:val="270B5BBD"/>
    <w:rsid w:val="27312345"/>
    <w:rsid w:val="27B57E67"/>
    <w:rsid w:val="28F3568B"/>
    <w:rsid w:val="2940272E"/>
    <w:rsid w:val="296757DE"/>
    <w:rsid w:val="2A5561C7"/>
    <w:rsid w:val="2B54029B"/>
    <w:rsid w:val="2BB63902"/>
    <w:rsid w:val="2CEF3FB8"/>
    <w:rsid w:val="2ED5212C"/>
    <w:rsid w:val="30552FD2"/>
    <w:rsid w:val="309803CF"/>
    <w:rsid w:val="30C90D87"/>
    <w:rsid w:val="30F33128"/>
    <w:rsid w:val="31B11C56"/>
    <w:rsid w:val="322A22B1"/>
    <w:rsid w:val="323C2F2A"/>
    <w:rsid w:val="330B10A4"/>
    <w:rsid w:val="33903B9A"/>
    <w:rsid w:val="359D2A5F"/>
    <w:rsid w:val="36F07953"/>
    <w:rsid w:val="3885236D"/>
    <w:rsid w:val="38854056"/>
    <w:rsid w:val="391E3890"/>
    <w:rsid w:val="39F4311D"/>
    <w:rsid w:val="3AF066C3"/>
    <w:rsid w:val="3BEA51F5"/>
    <w:rsid w:val="3C0733A8"/>
    <w:rsid w:val="3C6A6406"/>
    <w:rsid w:val="3D2C0ADF"/>
    <w:rsid w:val="3E1E176E"/>
    <w:rsid w:val="3E202F15"/>
    <w:rsid w:val="3E9078C4"/>
    <w:rsid w:val="3FD55619"/>
    <w:rsid w:val="404B6C28"/>
    <w:rsid w:val="414803DC"/>
    <w:rsid w:val="418B3130"/>
    <w:rsid w:val="420951A2"/>
    <w:rsid w:val="424A7A77"/>
    <w:rsid w:val="42875CFB"/>
    <w:rsid w:val="42C92294"/>
    <w:rsid w:val="43132246"/>
    <w:rsid w:val="437812DF"/>
    <w:rsid w:val="44FF2A7A"/>
    <w:rsid w:val="45FA78C3"/>
    <w:rsid w:val="46024FFD"/>
    <w:rsid w:val="460927E6"/>
    <w:rsid w:val="46895EDE"/>
    <w:rsid w:val="47675677"/>
    <w:rsid w:val="481D44F1"/>
    <w:rsid w:val="48C83E12"/>
    <w:rsid w:val="48F53072"/>
    <w:rsid w:val="494621F7"/>
    <w:rsid w:val="4A3F3C8E"/>
    <w:rsid w:val="4A577A02"/>
    <w:rsid w:val="4B0F33A3"/>
    <w:rsid w:val="4C504DA4"/>
    <w:rsid w:val="4C7F348C"/>
    <w:rsid w:val="4CA44F5B"/>
    <w:rsid w:val="4D294D99"/>
    <w:rsid w:val="4E7538BE"/>
    <w:rsid w:val="4F25246D"/>
    <w:rsid w:val="501D5DFE"/>
    <w:rsid w:val="50463D38"/>
    <w:rsid w:val="50EA7F43"/>
    <w:rsid w:val="50F06B23"/>
    <w:rsid w:val="513973A6"/>
    <w:rsid w:val="516A1310"/>
    <w:rsid w:val="51ED6A4B"/>
    <w:rsid w:val="52300D6A"/>
    <w:rsid w:val="52304CA0"/>
    <w:rsid w:val="54F36E09"/>
    <w:rsid w:val="554062C1"/>
    <w:rsid w:val="558820D0"/>
    <w:rsid w:val="570A7A4A"/>
    <w:rsid w:val="57346FE0"/>
    <w:rsid w:val="57F331F2"/>
    <w:rsid w:val="57F83763"/>
    <w:rsid w:val="59DB49CF"/>
    <w:rsid w:val="5A3B2D3C"/>
    <w:rsid w:val="5A683FFF"/>
    <w:rsid w:val="5AA769EB"/>
    <w:rsid w:val="5AB36CA0"/>
    <w:rsid w:val="5B546ADF"/>
    <w:rsid w:val="5C436904"/>
    <w:rsid w:val="5C664E8E"/>
    <w:rsid w:val="5DBF29C4"/>
    <w:rsid w:val="5DCD3CEB"/>
    <w:rsid w:val="5DF00521"/>
    <w:rsid w:val="5E2027FE"/>
    <w:rsid w:val="5E3E0145"/>
    <w:rsid w:val="5F5E0F4F"/>
    <w:rsid w:val="62D85246"/>
    <w:rsid w:val="62EA322C"/>
    <w:rsid w:val="631F5A7F"/>
    <w:rsid w:val="63433F66"/>
    <w:rsid w:val="63F819E8"/>
    <w:rsid w:val="641454FD"/>
    <w:rsid w:val="656D3759"/>
    <w:rsid w:val="662752EF"/>
    <w:rsid w:val="66DD5F97"/>
    <w:rsid w:val="68BA0755"/>
    <w:rsid w:val="68E65C61"/>
    <w:rsid w:val="693F2885"/>
    <w:rsid w:val="6B342BA7"/>
    <w:rsid w:val="6B3C0314"/>
    <w:rsid w:val="6CF54EC6"/>
    <w:rsid w:val="6D983C19"/>
    <w:rsid w:val="6F8F0EBD"/>
    <w:rsid w:val="6FB438A3"/>
    <w:rsid w:val="701F75C9"/>
    <w:rsid w:val="703F45D4"/>
    <w:rsid w:val="708F5A33"/>
    <w:rsid w:val="71072C9F"/>
    <w:rsid w:val="724D47CD"/>
    <w:rsid w:val="736E263D"/>
    <w:rsid w:val="73F3271F"/>
    <w:rsid w:val="7527528D"/>
    <w:rsid w:val="755726DD"/>
    <w:rsid w:val="755D5634"/>
    <w:rsid w:val="757C6160"/>
    <w:rsid w:val="7638442C"/>
    <w:rsid w:val="77A450BA"/>
    <w:rsid w:val="781F4CEB"/>
    <w:rsid w:val="78937BBC"/>
    <w:rsid w:val="79852FF6"/>
    <w:rsid w:val="7ACC2155"/>
    <w:rsid w:val="7AF5271A"/>
    <w:rsid w:val="7C156B31"/>
    <w:rsid w:val="7C5E095D"/>
    <w:rsid w:val="7C966762"/>
    <w:rsid w:val="7CB80EEC"/>
    <w:rsid w:val="7D105E6B"/>
    <w:rsid w:val="7D1C36F2"/>
    <w:rsid w:val="7D4A0A5C"/>
    <w:rsid w:val="7D7004C3"/>
    <w:rsid w:val="7DB32A41"/>
    <w:rsid w:val="7DD66E82"/>
    <w:rsid w:val="7F0B578D"/>
    <w:rsid w:val="7F131561"/>
    <w:rsid w:val="7F84561D"/>
    <w:rsid w:val="7FA3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3767</Words>
  <Characters>4185</Characters>
  <Lines>39</Lines>
  <Paragraphs>10</Paragraphs>
  <TotalTime>16</TotalTime>
  <ScaleCrop>false</ScaleCrop>
  <LinksUpToDate>false</LinksUpToDate>
  <CharactersWithSpaces>4315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2025-05-06T01:45:00Z</cp:lastPrinted>
  <dcterms:modified xsi:type="dcterms:W3CDTF">2025-05-14T00:56:39Z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957BDC43C9434A7CAAEDB3FD85A53F4B_13</vt:lpwstr>
  </property>
  <property fmtid="{D5CDD505-2E9C-101B-9397-08002B2CF9AE}" pid="4" name="KSOTemplateDocerSaveRecord">
    <vt:lpwstr>eyJoZGlkIjoiNzFhZjk3MWU2ODZjMTU1ZDU0MWFlZmQyMTYwNjE5ZjIiLCJ1c2VySWQiOiIyMzk3ODg1OTIifQ==</vt:lpwstr>
  </property>
</Properties>
</file>