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软密封闸阀</w:t>
      </w:r>
      <w:r>
        <w:rPr>
          <w:rFonts w:hint="eastAsia" w:asciiTheme="minorEastAsia" w:hAnsiTheme="minorEastAsia" w:eastAsiaTheme="minorEastAsia"/>
          <w:b/>
          <w:spacing w:val="0"/>
          <w:sz w:val="32"/>
          <w:szCs w:val="32"/>
          <w:lang w:val="en-US" w:eastAsia="zh-CN"/>
        </w:rPr>
        <w:t>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w:t>
      </w:r>
      <w:r>
        <w:rPr>
          <w:rFonts w:hint="eastAsia" w:asciiTheme="minorEastAsia" w:hAnsiTheme="minorEastAsia"/>
          <w:b/>
          <w:spacing w:val="0"/>
          <w:sz w:val="32"/>
          <w:szCs w:val="32"/>
          <w:lang w:val="en-US" w:eastAsia="zh-CN"/>
        </w:rPr>
        <w:t>招标</w:t>
      </w:r>
      <w:r>
        <w:rPr>
          <w:rFonts w:hint="eastAsia" w:asciiTheme="minorEastAsia" w:hAnsiTheme="minorEastAsia" w:eastAsiaTheme="minorEastAsia"/>
          <w:b/>
          <w:spacing w:val="0"/>
          <w:sz w:val="32"/>
          <w:szCs w:val="32"/>
          <w:lang w:val="en-US" w:eastAsia="zh-CN"/>
        </w:rPr>
        <w:t>公告</w:t>
      </w:r>
    </w:p>
    <w:p w14:paraId="5ACD4742">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启东市吕四自来水厂有限公司软密封闸阀2025-2026年度采购项目即将实施，现就该项目进行招标采购。</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一、采购需求：详见附件《启东市吕四自来水厂有限公司软密封闸阀2025-2026年度采购项目报价清单》。</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tLeas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60FF0CE6">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1年（自合同签订之日起）。</w:t>
      </w:r>
    </w:p>
    <w:p w14:paraId="141FD9E2">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eastAsia="宋体" w:cs="宋体"/>
          <w:color w:val="auto"/>
          <w:sz w:val="24"/>
          <w:szCs w:val="24"/>
          <w:highlight w:val="none"/>
          <w:lang w:val="en-US" w:eastAsia="zh-CN"/>
        </w:rPr>
        <w:t>2.</w:t>
      </w:r>
      <w:r>
        <w:rPr>
          <w:rFonts w:hint="eastAsia" w:ascii="宋体" w:hAnsi="宋体" w:cs="宋体"/>
          <w:b w:val="0"/>
          <w:bCs w:val="0"/>
          <w:color w:val="000000" w:themeColor="text1"/>
          <w:sz w:val="24"/>
          <w14:textFill>
            <w14:solidFill>
              <w14:schemeClr w14:val="tx1"/>
            </w14:solidFill>
          </w14:textFill>
        </w:rPr>
        <w:t>履约保证金交纳要求：</w:t>
      </w:r>
      <w:r>
        <w:rPr>
          <w:rFonts w:hint="eastAsia" w:ascii="宋体" w:hAnsi="宋体" w:cs="宋体"/>
          <w:color w:val="000000" w:themeColor="text1"/>
          <w:sz w:val="24"/>
          <w14:textFill>
            <w14:solidFill>
              <w14:schemeClr w14:val="tx1"/>
            </w14:solidFill>
          </w14:textFill>
        </w:rPr>
        <w:t>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78F3FF33">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1、成交供应商全部履约合同义务，经采购单位验收合格无质量、进度等问题的，采购人在</w:t>
      </w:r>
      <w:r>
        <w:rPr>
          <w:rFonts w:hint="eastAsia" w:cs="SourceHanSansCN-Regular" w:asciiTheme="minorEastAsia" w:hAnsiTheme="minorEastAsia" w:eastAsiaTheme="minorEastAsia"/>
          <w:color w:val="000000"/>
          <w:spacing w:val="7"/>
          <w:kern w:val="0"/>
          <w:sz w:val="24"/>
          <w:shd w:val="clear" w:color="auto" w:fill="FFFFFF"/>
        </w:rPr>
        <w:t>履约期结束且</w:t>
      </w:r>
      <w:r>
        <w:rPr>
          <w:rFonts w:hint="eastAsia" w:ascii="宋体" w:hAnsi="宋体" w:cs="宋体"/>
          <w:color w:val="000000" w:themeColor="text1"/>
          <w:sz w:val="24"/>
          <w14:textFill>
            <w14:solidFill>
              <w14:schemeClr w14:val="tx1"/>
            </w14:solidFill>
          </w14:textFill>
        </w:rPr>
        <w:t>验收合格后一次性退还履约保证金。</w:t>
      </w:r>
    </w:p>
    <w:p w14:paraId="33E95E9E">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2、发生以下情况的，履约保证金不予退还或部分退还：</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（1）签订合同后，成交供应商不履行合同义务的，采购单位有权全额扣除履约保证金，全额不予退还，同时采购单位亦有权终止合同，成交供应商还须承担相应的法律赔偿责任。</w:t>
      </w:r>
    </w:p>
    <w:p w14:paraId="20E7E91F">
      <w:pPr>
        <w:keepNext w:val="0"/>
        <w:keepLines w:val="0"/>
        <w:pageBreakBefore w:val="0"/>
        <w:widowControl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D1EAABC">
      <w:pPr>
        <w:keepNext w:val="0"/>
        <w:keepLines w:val="0"/>
        <w:pageBreakBefore w:val="0"/>
        <w:kinsoku/>
        <w:wordWrap/>
        <w:overflowPunct/>
        <w:topLinePunct w:val="0"/>
        <w:autoSpaceDE/>
        <w:autoSpaceDN/>
        <w:bidi w:val="0"/>
        <w:adjustRightInd/>
        <w:snapToGrid w:val="0"/>
        <w:spacing w:line="360" w:lineRule="atLeast"/>
        <w:ind w:firstLine="480" w:firstLineChars="200"/>
        <w:contextualSpacing/>
        <w:jc w:val="left"/>
        <w:textAlignment w:val="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（3）如由于成交供应商原因，中途停止供货的，履约保证金不予退还。</w:t>
      </w:r>
    </w:p>
    <w:p w14:paraId="1CA7E693">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质保要求：1年以上。</w:t>
      </w:r>
    </w:p>
    <w:p w14:paraId="6201893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lang w:eastAsia="zh-CN"/>
        </w:rPr>
        <w:t>开标时间、地点：请于</w:t>
      </w:r>
      <w:r>
        <w:rPr>
          <w:rStyle w:val="29"/>
          <w:rFonts w:hint="eastAsia" w:ascii="宋体" w:hAnsi="宋体" w:eastAsia="宋体" w:cs="宋体"/>
          <w:b/>
          <w:bCs/>
          <w:kern w:val="0"/>
          <w:sz w:val="28"/>
          <w:szCs w:val="28"/>
          <w:highlight w:val="none"/>
          <w:u w:val="single"/>
          <w:lang w:eastAsia="zh-CN"/>
        </w:rPr>
        <w:t>2025年</w:t>
      </w:r>
      <w:r>
        <w:rPr>
          <w:rStyle w:val="29"/>
          <w:rFonts w:hint="eastAsia" w:ascii="宋体" w:hAnsi="宋体" w:eastAsia="宋体" w:cs="宋体"/>
          <w:b/>
          <w:bCs/>
          <w:kern w:val="0"/>
          <w:sz w:val="28"/>
          <w:szCs w:val="28"/>
          <w:highlight w:val="none"/>
          <w:u w:val="single"/>
          <w:lang w:val="en-US" w:eastAsia="zh-CN"/>
        </w:rPr>
        <w:t>5</w:t>
      </w:r>
      <w:r>
        <w:rPr>
          <w:rStyle w:val="29"/>
          <w:rFonts w:hint="eastAsia" w:ascii="宋体" w:hAnsi="宋体" w:eastAsia="宋体" w:cs="宋体"/>
          <w:b/>
          <w:bCs/>
          <w:kern w:val="0"/>
          <w:sz w:val="28"/>
          <w:szCs w:val="28"/>
          <w:highlight w:val="none"/>
          <w:u w:val="single"/>
          <w:lang w:eastAsia="zh-CN"/>
        </w:rPr>
        <w:t>月1</w:t>
      </w:r>
      <w:r>
        <w:rPr>
          <w:rStyle w:val="29"/>
          <w:rFonts w:hint="eastAsia" w:ascii="宋体" w:hAnsi="宋体" w:eastAsia="宋体" w:cs="宋体"/>
          <w:b/>
          <w:bCs/>
          <w:kern w:val="0"/>
          <w:sz w:val="28"/>
          <w:szCs w:val="28"/>
          <w:highlight w:val="none"/>
          <w:u w:val="single"/>
          <w:lang w:val="en-US" w:eastAsia="zh-CN"/>
        </w:rPr>
        <w:t>2</w:t>
      </w:r>
      <w:r>
        <w:rPr>
          <w:rStyle w:val="29"/>
          <w:rFonts w:hint="eastAsia" w:ascii="宋体" w:hAnsi="宋体" w:eastAsia="宋体" w:cs="宋体"/>
          <w:b/>
          <w:bCs/>
          <w:kern w:val="0"/>
          <w:sz w:val="28"/>
          <w:szCs w:val="28"/>
          <w:highlight w:val="none"/>
          <w:u w:val="single"/>
          <w:lang w:eastAsia="zh-CN"/>
        </w:rPr>
        <w:t>日</w:t>
      </w:r>
      <w:r>
        <w:rPr>
          <w:rStyle w:val="29"/>
          <w:rFonts w:hint="eastAsia" w:ascii="宋体" w:hAnsi="宋体" w:eastAsia="宋体" w:cs="宋体"/>
          <w:b/>
          <w:bCs/>
          <w:kern w:val="0"/>
          <w:sz w:val="28"/>
          <w:szCs w:val="28"/>
          <w:highlight w:val="none"/>
          <w:u w:val="single"/>
          <w:lang w:val="en-US" w:eastAsia="zh-CN"/>
        </w:rPr>
        <w:t>下</w:t>
      </w:r>
      <w:r>
        <w:rPr>
          <w:rStyle w:val="29"/>
          <w:rFonts w:hint="eastAsia" w:ascii="宋体" w:hAnsi="宋体" w:eastAsia="宋体" w:cs="宋体"/>
          <w:b/>
          <w:bCs/>
          <w:kern w:val="0"/>
          <w:sz w:val="28"/>
          <w:szCs w:val="28"/>
          <w:highlight w:val="none"/>
          <w:u w:val="single"/>
          <w:lang w:eastAsia="zh-CN"/>
        </w:rPr>
        <w:t>午</w:t>
      </w:r>
      <w:r>
        <w:rPr>
          <w:rStyle w:val="29"/>
          <w:rFonts w:hint="eastAsia" w:ascii="宋体" w:hAnsi="宋体" w:eastAsia="宋体" w:cs="宋体"/>
          <w:b/>
          <w:bCs/>
          <w:kern w:val="0"/>
          <w:sz w:val="28"/>
          <w:szCs w:val="28"/>
          <w:highlight w:val="none"/>
          <w:u w:val="single"/>
          <w:lang w:val="en-US" w:eastAsia="zh-CN"/>
        </w:rPr>
        <w:t>15</w:t>
      </w:r>
      <w:r>
        <w:rPr>
          <w:rStyle w:val="29"/>
          <w:rFonts w:hint="eastAsia" w:ascii="宋体" w:hAnsi="宋体" w:eastAsia="宋体" w:cs="宋体"/>
          <w:b/>
          <w:bCs/>
          <w:kern w:val="0"/>
          <w:sz w:val="28"/>
          <w:szCs w:val="28"/>
          <w:highlight w:val="none"/>
          <w:u w:val="single"/>
          <w:lang w:eastAsia="zh-CN"/>
        </w:rPr>
        <w:t>:</w:t>
      </w:r>
      <w:r>
        <w:rPr>
          <w:rStyle w:val="29"/>
          <w:rFonts w:hint="eastAsia" w:ascii="宋体" w:hAnsi="宋体" w:eastAsia="宋体" w:cs="宋体"/>
          <w:b/>
          <w:bCs/>
          <w:kern w:val="0"/>
          <w:sz w:val="28"/>
          <w:szCs w:val="28"/>
          <w:highlight w:val="none"/>
          <w:u w:val="single"/>
          <w:lang w:val="en-US" w:eastAsia="zh-CN"/>
        </w:rPr>
        <w:t>3</w:t>
      </w:r>
      <w:r>
        <w:rPr>
          <w:rStyle w:val="29"/>
          <w:rFonts w:hint="eastAsia" w:ascii="宋体" w:hAnsi="宋体" w:eastAsia="宋体" w:cs="宋体"/>
          <w:b/>
          <w:bCs/>
          <w:kern w:val="0"/>
          <w:sz w:val="28"/>
          <w:szCs w:val="28"/>
          <w:highlight w:val="none"/>
          <w:u w:val="single"/>
          <w:lang w:eastAsia="zh-CN"/>
        </w:rPr>
        <w:t>0时</w:t>
      </w:r>
      <w:r>
        <w:rPr>
          <w:rStyle w:val="29"/>
          <w:rFonts w:hint="eastAsia" w:ascii="宋体" w:hAnsi="宋体" w:eastAsia="宋体" w:cs="宋体"/>
          <w:kern w:val="0"/>
          <w:sz w:val="24"/>
          <w:szCs w:val="24"/>
          <w:highlight w:val="none"/>
          <w:lang w:eastAsia="zh-CN"/>
        </w:rPr>
        <w:t>携报价资料在</w:t>
      </w:r>
      <w:r>
        <w:rPr>
          <w:rStyle w:val="29"/>
          <w:rFonts w:hint="eastAsia" w:ascii="宋体" w:hAnsi="宋体" w:eastAsia="宋体" w:cs="宋体"/>
          <w:b/>
          <w:bCs/>
          <w:kern w:val="0"/>
          <w:sz w:val="24"/>
          <w:szCs w:val="24"/>
          <w:highlight w:val="none"/>
          <w:u w:val="single"/>
          <w:lang w:eastAsia="zh-CN"/>
        </w:rPr>
        <w:t>启东市城投集团二楼开标室</w:t>
      </w:r>
      <w:r>
        <w:rPr>
          <w:rStyle w:val="29"/>
          <w:rFonts w:hint="eastAsia" w:ascii="宋体" w:hAnsi="宋体" w:eastAsia="宋体" w:cs="宋体"/>
          <w:kern w:val="0"/>
          <w:sz w:val="24"/>
          <w:szCs w:val="24"/>
          <w:highlight w:val="none"/>
          <w:lang w:eastAsia="zh-CN"/>
        </w:rPr>
        <w:t>参与投标报价。</w:t>
      </w:r>
    </w:p>
    <w:p w14:paraId="39297DA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b w:val="0"/>
          <w:bCs w:val="0"/>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5.</w:t>
      </w:r>
      <w:r>
        <w:rPr>
          <w:rStyle w:val="29"/>
          <w:rFonts w:hint="eastAsia" w:ascii="宋体" w:hAnsi="宋体" w:eastAsia="宋体" w:cs="宋体"/>
          <w:b w:val="0"/>
          <w:bCs w:val="0"/>
          <w:kern w:val="0"/>
          <w:sz w:val="24"/>
          <w:szCs w:val="24"/>
          <w:highlight w:val="none"/>
          <w:lang w:eastAsia="zh-CN"/>
        </w:rPr>
        <w:t>投标资料要求：</w:t>
      </w:r>
    </w:p>
    <w:p w14:paraId="52D7136F">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single"/>
          <w:lang w:eastAsia="zh-CN"/>
        </w:rPr>
      </w:pPr>
      <w:r>
        <w:rPr>
          <w:rStyle w:val="29"/>
          <w:rFonts w:hint="eastAsia" w:ascii="宋体" w:hAnsi="宋体" w:eastAsia="宋体" w:cs="宋体"/>
          <w:kern w:val="0"/>
          <w:sz w:val="24"/>
          <w:szCs w:val="24"/>
          <w:highlight w:val="none"/>
          <w:lang w:eastAsia="zh-CN"/>
        </w:rPr>
        <w:t>授权委托人须携带</w:t>
      </w:r>
      <w:r>
        <w:rPr>
          <w:rStyle w:val="29"/>
          <w:rFonts w:hint="eastAsia" w:ascii="宋体" w:hAnsi="宋体" w:eastAsia="宋体" w:cs="宋体"/>
          <w:kern w:val="0"/>
          <w:sz w:val="24"/>
          <w:szCs w:val="24"/>
          <w:highlight w:val="none"/>
          <w:u w:val="single"/>
          <w:lang w:eastAsia="zh-CN"/>
        </w:rPr>
        <w:t>企业营业执照复印件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资质证书复印件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授权委托书原件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本人身份证正反面复印件</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u w:val="single"/>
          <w:lang w:eastAsia="zh-CN"/>
        </w:rPr>
        <w:t>投标函原件、报价清单（必须按提供的样表格式填写报价，所有涉及报价的页面均必须加盖单位公章，资格审查和报价表须分开密封，否则视为无效报价文件），</w:t>
      </w:r>
      <w:r>
        <w:rPr>
          <w:rStyle w:val="29"/>
          <w:rFonts w:hint="eastAsia" w:ascii="宋体" w:hAnsi="宋体" w:eastAsia="宋体" w:cs="宋体"/>
          <w:kern w:val="0"/>
          <w:sz w:val="24"/>
          <w:szCs w:val="24"/>
          <w:highlight w:val="none"/>
          <w:u w:val="single"/>
          <w:lang w:val="en-US" w:eastAsia="zh-CN"/>
        </w:rPr>
        <w:t>及自2022年以来的供水企业业绩证明（相对应的合同、发票扫描件）</w:t>
      </w:r>
      <w:r>
        <w:rPr>
          <w:rStyle w:val="29"/>
          <w:rFonts w:hint="eastAsia" w:ascii="宋体" w:hAnsi="宋体" w:eastAsia="宋体" w:cs="宋体"/>
          <w:kern w:val="0"/>
          <w:sz w:val="24"/>
          <w:szCs w:val="24"/>
          <w:highlight w:val="none"/>
          <w:u w:val="single"/>
          <w:lang w:eastAsia="zh-CN"/>
        </w:rPr>
        <w:t>以上材料均需加盖投标人公章，投标文件</w:t>
      </w:r>
      <w:r>
        <w:rPr>
          <w:rStyle w:val="29"/>
          <w:rFonts w:hint="eastAsia" w:ascii="宋体" w:hAnsi="宋体" w:eastAsia="宋体" w:cs="宋体"/>
          <w:b w:val="0"/>
          <w:bCs w:val="0"/>
          <w:kern w:val="0"/>
          <w:sz w:val="24"/>
          <w:szCs w:val="24"/>
          <w:highlight w:val="none"/>
          <w:u w:val="single"/>
          <w:lang w:eastAsia="zh-CN"/>
        </w:rPr>
        <w:t>装订成册</w:t>
      </w:r>
      <w:r>
        <w:rPr>
          <w:rStyle w:val="29"/>
          <w:rFonts w:hint="eastAsia" w:ascii="宋体" w:hAnsi="宋体" w:eastAsia="宋体" w:cs="宋体"/>
          <w:kern w:val="0"/>
          <w:sz w:val="24"/>
          <w:szCs w:val="24"/>
          <w:highlight w:val="none"/>
          <w:u w:val="single"/>
          <w:lang w:eastAsia="zh-CN"/>
        </w:rPr>
        <w:t>密封并于封口处加盖投标人公章（不允许使用活页夹、拉杆夹、文件夹、塑料方便式书脊（插入式或穿孔式）装订），密封袋及投标文件封面上标明：招标人名称、项目名称、投标人名称，否则将作废标处理。</w:t>
      </w:r>
    </w:p>
    <w:p w14:paraId="7AB699C7">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u w:val="none"/>
          <w:lang w:eastAsia="zh-CN"/>
        </w:rPr>
      </w:pPr>
      <w:r>
        <w:rPr>
          <w:rStyle w:val="29"/>
          <w:rFonts w:hint="eastAsia" w:ascii="宋体" w:hAnsi="宋体" w:eastAsia="宋体" w:cs="宋体"/>
          <w:kern w:val="0"/>
          <w:sz w:val="24"/>
          <w:szCs w:val="24"/>
          <w:highlight w:val="none"/>
          <w:u w:val="none"/>
          <w:lang w:eastAsia="zh-CN"/>
        </w:rPr>
        <w:t>注：提供复印件的材料应提供原件备查。</w:t>
      </w:r>
    </w:p>
    <w:p w14:paraId="2D81D366">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b w:val="0"/>
          <w:bCs w:val="0"/>
          <w:kern w:val="0"/>
          <w:sz w:val="24"/>
          <w:szCs w:val="24"/>
          <w:highlight w:val="none"/>
          <w:lang w:val="en-US" w:eastAsia="zh-CN"/>
        </w:rPr>
        <w:t>6.</w:t>
      </w:r>
      <w:r>
        <w:rPr>
          <w:rStyle w:val="29"/>
          <w:rFonts w:hint="eastAsia" w:ascii="宋体" w:hAnsi="宋体" w:eastAsia="宋体" w:cs="宋体"/>
          <w:kern w:val="0"/>
          <w:sz w:val="24"/>
          <w:szCs w:val="24"/>
          <w:highlight w:val="none"/>
          <w:lang w:eastAsia="zh-CN"/>
        </w:rPr>
        <w:t>报价要求：</w:t>
      </w:r>
    </w:p>
    <w:p w14:paraId="375177D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eastAsia="zh-CN"/>
        </w:rPr>
      </w:pPr>
      <w:r>
        <w:rPr>
          <w:rStyle w:val="29"/>
          <w:rFonts w:hint="eastAsia" w:ascii="宋体" w:hAnsi="宋体" w:eastAsia="宋体" w:cs="宋体"/>
          <w:kern w:val="0"/>
          <w:sz w:val="24"/>
          <w:szCs w:val="24"/>
          <w:highlight w:val="none"/>
          <w:lang w:eastAsia="zh-CN"/>
        </w:rPr>
        <w:t>本项目招标控制价（含税）为人民币</w:t>
      </w:r>
      <w:r>
        <w:rPr>
          <w:rStyle w:val="29"/>
          <w:rFonts w:hint="eastAsia" w:ascii="宋体" w:hAnsi="宋体" w:eastAsia="宋体" w:cs="宋体"/>
          <w:kern w:val="0"/>
          <w:sz w:val="24"/>
          <w:szCs w:val="24"/>
          <w:highlight w:val="none"/>
          <w:u w:val="single"/>
          <w:lang w:val="en-US" w:eastAsia="zh-CN"/>
        </w:rPr>
        <w:t>159780.00</w:t>
      </w:r>
      <w:r>
        <w:rPr>
          <w:rStyle w:val="29"/>
          <w:rFonts w:hint="eastAsia" w:ascii="宋体" w:hAnsi="宋体" w:eastAsia="宋体" w:cs="宋体"/>
          <w:kern w:val="0"/>
          <w:sz w:val="24"/>
          <w:szCs w:val="24"/>
          <w:highlight w:val="none"/>
          <w:u w:val="single"/>
          <w:lang w:eastAsia="zh-CN"/>
        </w:rPr>
        <w:t>元</w:t>
      </w:r>
      <w:r>
        <w:rPr>
          <w:rStyle w:val="29"/>
          <w:rFonts w:hint="eastAsia" w:ascii="宋体" w:hAnsi="宋体" w:eastAsia="宋体" w:cs="宋体"/>
          <w:kern w:val="0"/>
          <w:sz w:val="24"/>
          <w:szCs w:val="24"/>
          <w:highlight w:val="none"/>
          <w:lang w:eastAsia="zh-CN"/>
        </w:rPr>
        <w:t>（大写：</w:t>
      </w:r>
      <w:r>
        <w:rPr>
          <w:rStyle w:val="29"/>
          <w:rFonts w:hint="eastAsia" w:ascii="宋体" w:hAnsi="宋体" w:eastAsia="宋体" w:cs="宋体"/>
          <w:kern w:val="0"/>
          <w:sz w:val="24"/>
          <w:szCs w:val="24"/>
          <w:highlight w:val="none"/>
          <w:u w:val="single"/>
          <w:lang w:val="en-US" w:eastAsia="zh-CN"/>
        </w:rPr>
        <w:t>壹拾伍万玖仟柒佰捌拾元</w:t>
      </w:r>
      <w:r>
        <w:rPr>
          <w:rStyle w:val="29"/>
          <w:rFonts w:hint="eastAsia" w:ascii="宋体" w:hAnsi="宋体" w:eastAsia="宋体" w:cs="宋体"/>
          <w:kern w:val="0"/>
          <w:sz w:val="24"/>
          <w:szCs w:val="24"/>
          <w:highlight w:val="none"/>
          <w:u w:val="single"/>
          <w:lang w:eastAsia="zh-CN"/>
        </w:rPr>
        <w:t>整</w:t>
      </w:r>
      <w:r>
        <w:rPr>
          <w:rStyle w:val="29"/>
          <w:rFonts w:hint="eastAsia" w:ascii="宋体" w:hAnsi="宋体" w:eastAsia="宋体" w:cs="宋体"/>
          <w:kern w:val="0"/>
          <w:sz w:val="24"/>
          <w:szCs w:val="24"/>
          <w:highlight w:val="none"/>
          <w:lang w:eastAsia="zh-CN"/>
        </w:rPr>
        <w:t xml:space="preserve">），高于或等于招标控制价的为无效报价，最低价中标。投标报价保留两位小数，否则为无效报价，作废标处理。 </w:t>
      </w:r>
    </w:p>
    <w:p w14:paraId="5E26F5D0">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7.</w:t>
      </w:r>
      <w:r>
        <w:rPr>
          <w:rStyle w:val="29"/>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7D98784E">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8</w:t>
      </w:r>
      <w:r>
        <w:rPr>
          <w:rStyle w:val="29"/>
          <w:rFonts w:hint="eastAsia" w:ascii="宋体" w:hAnsi="宋体" w:cs="宋体"/>
          <w:color w:val="auto"/>
          <w:kern w:val="0"/>
          <w:sz w:val="24"/>
          <w:szCs w:val="24"/>
          <w:highlight w:val="none"/>
          <w:lang w:val="en-US" w:eastAsia="zh-CN" w:bidi="ar-SA"/>
        </w:rPr>
        <w:t>.</w:t>
      </w:r>
      <w:r>
        <w:rPr>
          <w:rStyle w:val="29"/>
          <w:rFonts w:hint="eastAsia" w:ascii="宋体" w:hAnsi="宋体" w:eastAsia="宋体" w:cs="宋体"/>
          <w:color w:val="auto"/>
          <w:kern w:val="0"/>
          <w:sz w:val="24"/>
          <w:szCs w:val="24"/>
          <w:highlight w:val="none"/>
          <w:lang w:val="en-US" w:eastAsia="zh-CN" w:bidi="ar-SA"/>
        </w:rPr>
        <w:t>付款方式：</w:t>
      </w:r>
    </w:p>
    <w:p w14:paraId="262E9DF4">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（1）采购资金的支付方式：银行转账，由采购人按相关财务支付规定办理支付手续。</w:t>
      </w:r>
    </w:p>
    <w:p w14:paraId="535EB173">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（2）采购资金的支付时间、条件：</w:t>
      </w:r>
    </w:p>
    <w:p w14:paraId="097C8646">
      <w:pPr>
        <w:pStyle w:val="2"/>
        <w:keepNext w:val="0"/>
        <w:keepLines w:val="0"/>
        <w:pageBreakBefore w:val="0"/>
        <w:widowControl w:val="0"/>
        <w:kinsoku/>
        <w:wordWrap/>
        <w:overflowPunct/>
        <w:topLinePunct w:val="0"/>
        <w:autoSpaceDE/>
        <w:autoSpaceDN/>
        <w:bidi w:val="0"/>
        <w:adjustRightInd/>
        <w:snapToGrid/>
        <w:spacing w:after="0" w:line="360" w:lineRule="atLeast"/>
        <w:ind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727BA1BE">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302069D4">
      <w:pPr>
        <w:keepNext w:val="0"/>
        <w:keepLines w:val="0"/>
        <w:pageBreakBefore w:val="0"/>
        <w:kinsoku/>
        <w:wordWrap/>
        <w:overflowPunct/>
        <w:topLinePunct w:val="0"/>
        <w:autoSpaceDE/>
        <w:autoSpaceDN/>
        <w:bidi w:val="0"/>
        <w:adjustRightInd/>
        <w:snapToGrid/>
        <w:spacing w:line="360" w:lineRule="atLeas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7822C62D">
      <w:pPr>
        <w:keepNext w:val="0"/>
        <w:keepLines w:val="0"/>
        <w:pageBreakBefore w:val="0"/>
        <w:widowControl w:val="0"/>
        <w:kinsoku/>
        <w:wordWrap/>
        <w:overflowPunct/>
        <w:topLinePunct w:val="0"/>
        <w:autoSpaceDE/>
        <w:autoSpaceDN/>
        <w:bidi w:val="0"/>
        <w:adjustRightInd/>
        <w:snapToGrid/>
        <w:spacing w:line="360" w:lineRule="atLeast"/>
        <w:ind w:right="0" w:rightChars="0" w:firstLine="480" w:firstLineChars="200"/>
        <w:textAlignment w:val="auto"/>
        <w:rPr>
          <w:rStyle w:val="29"/>
          <w:rFonts w:hint="default" w:ascii="宋体" w:hAnsi="宋体" w:eastAsia="宋体" w:cs="宋体"/>
          <w:color w:val="auto"/>
          <w:kern w:val="0"/>
          <w:sz w:val="24"/>
          <w:szCs w:val="24"/>
          <w:highlight w:val="none"/>
          <w:lang w:val="en-US" w:eastAsia="zh-CN" w:bidi="ar-SA"/>
        </w:rPr>
      </w:pPr>
      <w:r>
        <w:rPr>
          <w:rStyle w:val="29"/>
          <w:rFonts w:hint="eastAsia" w:ascii="宋体" w:hAnsi="宋体" w:eastAsia="宋体" w:cs="宋体"/>
          <w:color w:val="auto"/>
          <w:kern w:val="0"/>
          <w:sz w:val="24"/>
          <w:szCs w:val="24"/>
          <w:highlight w:val="none"/>
          <w:lang w:val="en-US" w:eastAsia="zh-CN" w:bidi="ar-SA"/>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w:t>
      </w:r>
      <w:r>
        <w:rPr>
          <w:rStyle w:val="29"/>
          <w:rFonts w:hint="eastAsia" w:ascii="宋体" w:hAnsi="宋体" w:eastAsia="宋体" w:cs="宋体"/>
          <w:color w:val="auto"/>
          <w:kern w:val="0"/>
          <w:sz w:val="24"/>
          <w:szCs w:val="24"/>
          <w:highlight w:val="none"/>
          <w:lang w:val="zh-CN" w:eastAsia="zh-CN" w:bidi="ar-SA"/>
        </w:rPr>
        <w:t>当成交供应商放弃</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、因不可抗力不能履行合同、不按照</w:t>
      </w:r>
      <w:r>
        <w:rPr>
          <w:rStyle w:val="29"/>
          <w:rFonts w:hint="eastAsia" w:ascii="宋体" w:hAnsi="宋体" w:eastAsia="宋体" w:cs="宋体"/>
          <w:color w:val="auto"/>
          <w:kern w:val="0"/>
          <w:sz w:val="24"/>
          <w:szCs w:val="24"/>
          <w:highlight w:val="none"/>
          <w:lang w:val="en-US" w:eastAsia="zh-CN" w:bidi="ar-SA"/>
        </w:rPr>
        <w:t>询价</w:t>
      </w:r>
      <w:r>
        <w:rPr>
          <w:rStyle w:val="29"/>
          <w:rFonts w:hint="eastAsia" w:ascii="宋体" w:hAnsi="宋体" w:eastAsia="宋体" w:cs="宋体"/>
          <w:color w:val="auto"/>
          <w:kern w:val="0"/>
          <w:sz w:val="24"/>
          <w:szCs w:val="24"/>
          <w:highlight w:val="none"/>
          <w:lang w:val="zh-CN" w:eastAsia="zh-CN" w:bidi="ar-SA"/>
        </w:rPr>
        <w:t>文件要求提交履约保证金，或者被查实存在影响</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结果的违法行为等情形，不符合</w:t>
      </w:r>
      <w:r>
        <w:rPr>
          <w:rStyle w:val="29"/>
          <w:rFonts w:hint="eastAsia" w:ascii="宋体" w:hAnsi="宋体" w:eastAsia="宋体" w:cs="宋体"/>
          <w:color w:val="auto"/>
          <w:kern w:val="0"/>
          <w:sz w:val="24"/>
          <w:szCs w:val="24"/>
          <w:highlight w:val="none"/>
          <w:lang w:val="en-US" w:eastAsia="zh-CN" w:bidi="ar-SA"/>
        </w:rPr>
        <w:t>成交</w:t>
      </w:r>
      <w:r>
        <w:rPr>
          <w:rStyle w:val="29"/>
          <w:rFonts w:hint="eastAsia" w:ascii="宋体" w:hAnsi="宋体" w:eastAsia="宋体" w:cs="宋体"/>
          <w:color w:val="auto"/>
          <w:kern w:val="0"/>
          <w:sz w:val="24"/>
          <w:szCs w:val="24"/>
          <w:highlight w:val="none"/>
          <w:lang w:val="zh-CN" w:eastAsia="zh-CN" w:bidi="ar-SA"/>
        </w:rPr>
        <w:t>条件的，采购人可依法重新招标。</w:t>
      </w:r>
      <w:r>
        <w:rPr>
          <w:rStyle w:val="29"/>
          <w:rFonts w:hint="eastAsia" w:ascii="宋体" w:hAnsi="宋体" w:eastAsia="宋体" w:cs="宋体"/>
          <w:color w:val="auto"/>
          <w:kern w:val="0"/>
          <w:sz w:val="24"/>
          <w:szCs w:val="24"/>
          <w:highlight w:val="none"/>
          <w:lang w:val="en-US" w:eastAsia="zh-CN" w:bidi="ar-SA"/>
        </w:rPr>
        <w:t>（5）合同期限:自合同签订之日起壹年或采购金额满合同价后合同终止。</w:t>
      </w:r>
    </w:p>
    <w:p w14:paraId="66EC6C52">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Style w:val="29"/>
          <w:rFonts w:hint="eastAsia" w:ascii="宋体" w:hAnsi="宋体" w:eastAsia="宋体" w:cs="宋体"/>
          <w:kern w:val="0"/>
          <w:sz w:val="24"/>
          <w:szCs w:val="24"/>
          <w:highlight w:val="none"/>
          <w:lang w:val="en-US" w:eastAsia="zh-CN" w:bidi="ar-SA"/>
        </w:rPr>
      </w:pPr>
    </w:p>
    <w:p w14:paraId="36B64760">
      <w:pPr>
        <w:rPr>
          <w:rFonts w:hint="eastAsia"/>
          <w:lang w:val="en-US" w:eastAsia="zh-CN"/>
        </w:rPr>
      </w:pPr>
    </w:p>
    <w:p w14:paraId="452FDC05">
      <w:pPr>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tLeast"/>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29"/>
          <w:rFonts w:hint="eastAsia" w:ascii="宋体" w:hAnsi="宋体" w:eastAsia="宋体" w:cs="宋体"/>
          <w:kern w:val="0"/>
          <w:sz w:val="24"/>
          <w:szCs w:val="24"/>
          <w:highlight w:val="none"/>
          <w:lang w:val="en-US" w:eastAsia="zh-CN" w:bidi="ar-SA"/>
        </w:rPr>
      </w:pPr>
      <w:r>
        <w:rPr>
          <w:rStyle w:val="29"/>
          <w:rFonts w:hint="eastAsia" w:ascii="宋体" w:hAnsi="宋体" w:eastAsia="宋体" w:cs="宋体"/>
          <w:kern w:val="0"/>
          <w:sz w:val="24"/>
          <w:szCs w:val="24"/>
          <w:highlight w:val="none"/>
          <w:lang w:val="en-US" w:eastAsia="zh-CN" w:bidi="ar-SA"/>
        </w:rPr>
        <w:t xml:space="preserve">                                                      2025年5月6日</w:t>
      </w: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软密封闸阀2025-2026年度采购项目报价清单</w:t>
      </w:r>
    </w:p>
    <w:tbl>
      <w:tblPr>
        <w:tblStyle w:val="18"/>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2458"/>
        <w:gridCol w:w="1068"/>
        <w:gridCol w:w="746"/>
        <w:gridCol w:w="1152"/>
        <w:gridCol w:w="1208"/>
        <w:gridCol w:w="1320"/>
        <w:gridCol w:w="1020"/>
      </w:tblGrid>
      <w:tr w14:paraId="5552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0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9F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3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69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99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F26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1C3B467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7238">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DBB0">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56DB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6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6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2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2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3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EF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2FA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38940.00</w:t>
            </w:r>
          </w:p>
        </w:tc>
        <w:tc>
          <w:tcPr>
            <w:tcW w:w="1020" w:type="dxa"/>
            <w:vMerge w:val="restart"/>
            <w:tcBorders>
              <w:top w:val="single" w:color="000000" w:sz="4" w:space="0"/>
              <w:left w:val="single" w:color="000000" w:sz="4" w:space="0"/>
              <w:right w:val="single" w:color="000000" w:sz="4" w:space="0"/>
            </w:tcBorders>
            <w:shd w:val="clear" w:color="auto" w:fill="auto"/>
            <w:noWrap/>
            <w:vAlign w:val="center"/>
          </w:tcPr>
          <w:p w14:paraId="675D37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28F5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C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B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6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0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E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1C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92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18880.00</w:t>
            </w:r>
          </w:p>
        </w:tc>
        <w:tc>
          <w:tcPr>
            <w:tcW w:w="1020" w:type="dxa"/>
            <w:vMerge w:val="continue"/>
            <w:tcBorders>
              <w:left w:val="single" w:color="000000" w:sz="4" w:space="0"/>
              <w:right w:val="single" w:color="000000" w:sz="4" w:space="0"/>
            </w:tcBorders>
            <w:shd w:val="clear" w:color="auto" w:fill="auto"/>
            <w:noWrap/>
            <w:vAlign w:val="center"/>
          </w:tcPr>
          <w:p w14:paraId="5CD11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02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1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7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F500">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DN200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2DE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9F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27720.00</w:t>
            </w:r>
          </w:p>
        </w:tc>
        <w:tc>
          <w:tcPr>
            <w:tcW w:w="1020" w:type="dxa"/>
            <w:vMerge w:val="continue"/>
            <w:tcBorders>
              <w:left w:val="single" w:color="000000" w:sz="4" w:space="0"/>
              <w:right w:val="single" w:color="000000" w:sz="4" w:space="0"/>
            </w:tcBorders>
            <w:shd w:val="clear" w:color="auto" w:fill="auto"/>
            <w:noWrap/>
            <w:vAlign w:val="center"/>
          </w:tcPr>
          <w:p w14:paraId="316F6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0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C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1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7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2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2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9EB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7E0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8250.00</w:t>
            </w:r>
          </w:p>
        </w:tc>
        <w:tc>
          <w:tcPr>
            <w:tcW w:w="1020" w:type="dxa"/>
            <w:vMerge w:val="continue"/>
            <w:tcBorders>
              <w:left w:val="single" w:color="000000" w:sz="4" w:space="0"/>
              <w:right w:val="single" w:color="000000" w:sz="4" w:space="0"/>
            </w:tcBorders>
            <w:shd w:val="clear" w:color="auto" w:fill="auto"/>
            <w:noWrap/>
            <w:vAlign w:val="center"/>
          </w:tcPr>
          <w:p w14:paraId="7A0F7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9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4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F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E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1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E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11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642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2950.00</w:t>
            </w:r>
          </w:p>
        </w:tc>
        <w:tc>
          <w:tcPr>
            <w:tcW w:w="1020" w:type="dxa"/>
            <w:vMerge w:val="continue"/>
            <w:tcBorders>
              <w:left w:val="single" w:color="000000" w:sz="4" w:space="0"/>
              <w:right w:val="single" w:color="000000" w:sz="4" w:space="0"/>
            </w:tcBorders>
            <w:shd w:val="clear" w:color="auto" w:fill="auto"/>
            <w:noWrap/>
            <w:vAlign w:val="center"/>
          </w:tcPr>
          <w:p w14:paraId="303932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16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4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6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软密封闸阀（1.6mpa）</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3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DN300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E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A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68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9C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63040.00</w:t>
            </w:r>
          </w:p>
        </w:tc>
        <w:tc>
          <w:tcPr>
            <w:tcW w:w="1020" w:type="dxa"/>
            <w:vMerge w:val="continue"/>
            <w:tcBorders>
              <w:left w:val="single" w:color="000000" w:sz="4" w:space="0"/>
              <w:right w:val="single" w:color="000000" w:sz="4" w:space="0"/>
            </w:tcBorders>
            <w:shd w:val="clear" w:color="auto" w:fill="auto"/>
            <w:noWrap/>
            <w:vAlign w:val="center"/>
          </w:tcPr>
          <w:p w14:paraId="58CFA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F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3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9E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总价最高限价</w:t>
            </w:r>
          </w:p>
          <w:p w14:paraId="21364D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（人民币元）</w:t>
            </w:r>
          </w:p>
        </w:tc>
        <w:tc>
          <w:tcPr>
            <w:tcW w:w="54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EA2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大写：壹拾伍万玖仟柒佰捌拾元整</w:t>
            </w:r>
          </w:p>
          <w:p w14:paraId="6093D7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小写：159780.00元</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1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2、未被“信用中国”、</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中国政府采购网</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ascii="SourceHanSansCN-Regular" w:hAnsi="SourceHanSansCN-Regular" w:eastAsia="SourceHanSansCN-Regular" w:cs="SourceHanSansCN-Regular"/>
                <w:color w:val="auto"/>
                <w:spacing w:val="7"/>
                <w:kern w:val="0"/>
                <w:sz w:val="24"/>
                <w:highlight w:val="none"/>
                <w:shd w:val="clear" w:color="auto" w:fill="FFFFFF"/>
              </w:rPr>
              <w:t>信用江苏</w:t>
            </w:r>
            <w:r>
              <w:rPr>
                <w:rFonts w:hint="eastAsia" w:ascii="SourceHanSansCN-Regular" w:hAnsi="SourceHanSansCN-Regular" w:eastAsia="宋体" w:cs="SourceHanSansCN-Regular"/>
                <w:color w:val="auto"/>
                <w:spacing w:val="7"/>
                <w:kern w:val="0"/>
                <w:sz w:val="24"/>
                <w:highlight w:val="none"/>
                <w:shd w:val="clear" w:color="auto" w:fill="FFFFFF"/>
                <w:lang w:eastAsia="zh-CN"/>
              </w:rPr>
              <w:t>”</w:t>
            </w:r>
            <w:r>
              <w:rPr>
                <w:rFonts w:hint="eastAsia" w:ascii="宋体" w:hAnsi="宋体" w:eastAsia="宋体" w:cs="宋体"/>
                <w:b w:val="0"/>
                <w:bCs w:val="0"/>
                <w:i w:val="0"/>
                <w:iCs w:val="0"/>
                <w:color w:val="000000"/>
                <w:kern w:val="0"/>
                <w:sz w:val="24"/>
                <w:szCs w:val="24"/>
                <w:u w:val="none"/>
                <w:lang w:val="en-US" w:eastAsia="zh-CN" w:bidi="ar"/>
              </w:rPr>
              <w:t>网站列入失信被执行人、重大税收违法案件当事人名单、政府采购严重失信行为记录名单</w:t>
            </w:r>
            <w:r>
              <w:rPr>
                <w:rFonts w:hint="eastAsia" w:ascii="宋体" w:hAnsi="宋体" w:eastAsia="宋体" w:cs="宋体"/>
                <w:b/>
                <w:bCs/>
                <w:i w:val="0"/>
                <w:iCs w:val="0"/>
                <w:color w:val="000000"/>
                <w:kern w:val="0"/>
                <w:sz w:val="24"/>
                <w:szCs w:val="24"/>
                <w:u w:val="none"/>
                <w:lang w:val="en-US" w:eastAsia="zh-CN" w:bidi="ar"/>
              </w:rPr>
              <w:t>(提供网页截图)</w:t>
            </w:r>
            <w:r>
              <w:rPr>
                <w:rFonts w:hint="eastAsia" w:ascii="宋体" w:hAnsi="宋体" w:eastAsia="宋体" w:cs="宋体"/>
                <w:b w:val="0"/>
                <w:bCs w:val="0"/>
                <w:i w:val="0"/>
                <w:iCs w:val="0"/>
                <w:color w:val="000000"/>
                <w:kern w:val="0"/>
                <w:sz w:val="24"/>
                <w:szCs w:val="24"/>
                <w:u w:val="none"/>
                <w:lang w:val="en-US" w:eastAsia="zh-CN" w:bidi="ar"/>
              </w:rPr>
              <w:t>；</w:t>
            </w:r>
          </w:p>
          <w:p w14:paraId="27424DF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3、投标人应为在中华人民共和国境内注册的货物制造商或经销商，提供本项目中所采购的货物及服务，提供有效的营业执照；</w:t>
            </w:r>
          </w:p>
          <w:p w14:paraId="22B9630B">
            <w:pPr>
              <w:pStyle w:val="2"/>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4、投标人应提供省级及以上由卫生行政主管部门颁发的涉及饮用水卫生安全产品卫生许可批件；</w:t>
            </w:r>
          </w:p>
          <w:p w14:paraId="6A3F04A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6、报价人需具有ISO9001质量</w:t>
            </w:r>
            <w:r>
              <w:rPr>
                <w:rFonts w:hint="eastAsia" w:ascii="宋体" w:hAnsi="宋体" w:eastAsia="宋体" w:cs="宋体"/>
                <w:b w:val="0"/>
                <w:bCs w:val="0"/>
                <w:i w:val="0"/>
                <w:iCs w:val="0"/>
                <w:color w:val="auto"/>
                <w:kern w:val="0"/>
                <w:sz w:val="24"/>
                <w:szCs w:val="24"/>
                <w:u w:val="none"/>
                <w:lang w:val="en-US" w:eastAsia="zh-CN" w:bidi="ar"/>
              </w:rPr>
              <w:t>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6057303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6、报价人提供自2022年以来的供水企业业绩证明（相对应的合同、发票扫描件，加盖公章）；</w:t>
            </w:r>
          </w:p>
          <w:p w14:paraId="60890A3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r>
              <w:rPr>
                <w:rFonts w:hint="default" w:ascii="宋体" w:hAnsi="宋体" w:eastAsia="宋体" w:cs="宋体"/>
                <w:b w:val="0"/>
                <w:bCs w:val="0"/>
                <w:i w:val="0"/>
                <w:iCs w:val="0"/>
                <w:color w:val="000000"/>
                <w:kern w:val="0"/>
                <w:sz w:val="24"/>
                <w:szCs w:val="24"/>
                <w:u w:val="none"/>
                <w:lang w:val="en-US" w:eastAsia="zh-CN" w:bidi="ar"/>
              </w:rPr>
              <w:t>、禁止情形：</w:t>
            </w:r>
          </w:p>
          <w:p w14:paraId="6F4F3B6E">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拒绝以下投标人参与投标：</w:t>
            </w:r>
          </w:p>
          <w:p w14:paraId="48B33820">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（1）单位负责人为同一人或者存在直接控股、管理关系的不同投标人，不得参加同一合同项下的政府采购活动。</w:t>
            </w:r>
          </w:p>
          <w:p w14:paraId="25A70E8D">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default" w:ascii="宋体" w:hAnsi="宋体" w:eastAsia="宋体" w:cs="宋体"/>
                <w:b w:val="0"/>
                <w:bCs w:val="0"/>
                <w:i w:val="0"/>
                <w:iCs w:val="0"/>
                <w:color w:val="000000"/>
                <w:kern w:val="0"/>
                <w:sz w:val="24"/>
                <w:szCs w:val="24"/>
                <w:u w:val="none"/>
                <w:lang w:val="en-US" w:eastAsia="zh-CN" w:bidi="ar"/>
              </w:rPr>
              <w:t>（2）为采购项目提供整体设计、规范编制或者项目管理、监理、检测等服务的投标人，不得再参加本采购项目的其他采购活动。</w:t>
            </w:r>
          </w:p>
          <w:p w14:paraId="619ADC48">
            <w:pPr>
              <w:pStyle w:val="17"/>
              <w:spacing w:after="0" w:line="240" w:lineRule="auto"/>
              <w:ind w:left="0" w:leftChars="0" w:firstLine="482" w:firstLineChars="200"/>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w:t>
            </w:r>
            <w:r>
              <w:rPr>
                <w:rFonts w:hint="eastAsia" w:ascii="宋体" w:hAnsi="宋体" w:eastAsia="宋体" w:cs="宋体"/>
                <w:b w:val="0"/>
                <w:bCs/>
                <w:i w:val="0"/>
                <w:iCs w:val="0"/>
                <w:color w:val="000000"/>
                <w:kern w:val="0"/>
                <w:sz w:val="24"/>
                <w:szCs w:val="24"/>
                <w:u w:val="none"/>
                <w:lang w:val="en-US" w:eastAsia="zh-CN" w:bidi="ar"/>
              </w:rPr>
              <w:t>相关技术要求:</w:t>
            </w:r>
          </w:p>
          <w:p w14:paraId="2A37542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（一）执行标准</w:t>
            </w:r>
          </w:p>
          <w:p w14:paraId="782AE9A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 CJ/T216-2013《给水排水用软密封闸阀》</w:t>
            </w:r>
          </w:p>
          <w:p w14:paraId="5C3B146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 GB/T12221-2005《金属阀门 结构长度》</w:t>
            </w:r>
          </w:p>
          <w:p w14:paraId="75C81DF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 GB/T17241.6-2008《整体铸铁法兰》</w:t>
            </w:r>
          </w:p>
          <w:p w14:paraId="4EE5461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 GB/T13927-2008《工业阀门 压力试验》</w:t>
            </w:r>
          </w:p>
          <w:p w14:paraId="043D7B7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（二）技术要求</w:t>
            </w:r>
          </w:p>
          <w:p w14:paraId="47C7B35F">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1、阀体、阀盖、阀板</w:t>
            </w:r>
          </w:p>
          <w:p w14:paraId="4304DCA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阀盖、阀板采用球墨铸铁QT450-16Q材料，铸造工艺为树脂砂型，电炉熔炼，阀门铸件过流表面光滑，并符合《通用阀门球墨铸铁件技术条件GB/T12227-2005》的规定，所有铸件进行退火处理消除内应力。商标及材质牌号铸在阀体上。</w:t>
            </w:r>
          </w:p>
          <w:p w14:paraId="028BED3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法兰材质与阀体一致，并与阀体铸为一体，法兰符合《整体铸铁法兰GB/T17241.6-2008》的规定。</w:t>
            </w:r>
          </w:p>
          <w:p w14:paraId="46B761B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阀体采用直通式，即平底式阀座。闸阀底部采用全流域直通式设计，等同于一直管道，不易堆积杂物，确保密封可靠，使流体畅通无阻。</w:t>
            </w:r>
          </w:p>
          <w:p w14:paraId="3241CD0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阀体与阀盖之间的连接采用法兰式连接。在1.5倍工作压力的壳体试验下，阀体所有部件不发生变形。</w:t>
            </w:r>
          </w:p>
          <w:p w14:paraId="2F071B2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芯橡胶采用热熔注胶成型工艺，通过优质橡胶进行整体热熔注胶，在高压、恒温、保压下，将橡胶整体包覆在铸件上，附着力紧密牢靠，组织致密性好，几何尺寸精确且具有弹性记忆功能。阀门在使用过程中，可实现在线快速维修和更换阀板，而无需将阀门从管道卸下。</w:t>
            </w:r>
          </w:p>
          <w:p w14:paraId="0F1E297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高强度尼龙导槽：阀板导向槽处设有高强度尼龙制成的导向套，可有效减少阀体导轨与阀板之间的摩擦，还可减少泥沙对橡胶闸板的磨损，能降低启闭力矩，延长闸板的使用寿命。导向滑道保护包胶闸板并减少磨擦力。</w:t>
            </w:r>
          </w:p>
          <w:p w14:paraId="164FE48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2、阀杆、阀杆螺母</w:t>
            </w:r>
          </w:p>
          <w:p w14:paraId="57E1453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软密封闸阀为暗杆式，即阀杆在开启或关闭的过程中不升降。</w:t>
            </w:r>
          </w:p>
          <w:p w14:paraId="216EB27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阀杆材质采用不锈钢（2Cr13），符合GB1220规定的技术条件，采用滚牙制作工艺，表面光洁，无毛刺。阀杆采用双线螺纹，减少启闭时间。</w:t>
            </w:r>
          </w:p>
          <w:p w14:paraId="456E69A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阀杆螺母采用青铜制成，有效提高铜螺母材质致密性和耐磨性，增强强度。阀杆螺母与阀芯采用一体式或分体式连接，操作时阀杆螺母不松动、闸板不脱落。</w:t>
            </w:r>
          </w:p>
          <w:p w14:paraId="5FB9B30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3、轴承：采用止推轴承，材料为青铜。止推轴承有可靠的安装结构和加工精度，保证在开关操作中不产生脱落和抱死。</w:t>
            </w:r>
          </w:p>
          <w:p w14:paraId="2BD106D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4、密封</w:t>
            </w:r>
          </w:p>
          <w:p w14:paraId="5AE1956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阀体与阀盖的密封：采用三元乙丙橡胶密封圈密封。</w:t>
            </w:r>
          </w:p>
          <w:p w14:paraId="23FBB53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阀杆与阀盖的密封：采用3道“O”型三元乙丙橡胶密封圈密封。还可使阀门处于任何开度有压力且不断水的情况下，均可轻易更换两道“O”型密封圈，且阀杆有安全锁定功能，确保施工安全。</w:t>
            </w:r>
          </w:p>
          <w:p w14:paraId="2B0C9CC8">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阀体与阀板、阀体与阀盖、阀杆与阀盖的密封试验均符合《工业阀门 压力试验GB/T13927-2008》的规定。</w:t>
            </w:r>
          </w:p>
          <w:p w14:paraId="03C84D5B">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运至现场的密封圈无任何损坏现象，在阀门正常安装、使用过程中无松动、脱落、渗漏现象。</w:t>
            </w:r>
          </w:p>
          <w:p w14:paraId="43A8DBC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5、传动机构</w:t>
            </w:r>
          </w:p>
          <w:p w14:paraId="6611EA1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手轮采用球墨铸铁QT450-16Q韧性材料，可卸式。手轮安装在阀门顶部，操作设计成水平方向运转，操作方向顺时针为关闭，逆时针为开启，手轮上须注明开阀和关阀方向。手轮表面光滑，无毛刺、凹坑、凸起等缺陷。</w:t>
            </w:r>
          </w:p>
          <w:p w14:paraId="662988C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在额定压力下人工操作手轮开启或关闭阀门的最大作用力不大于300N。</w:t>
            </w:r>
          </w:p>
          <w:p w14:paraId="16AEB1F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所有传动机构的受力部件能承受2倍的额定力矩而无任何损伤。</w:t>
            </w:r>
          </w:p>
          <w:p w14:paraId="6E59CA8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 防腐涂层</w:t>
            </w:r>
          </w:p>
          <w:p w14:paraId="3A3C013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门内部的防腐涂层厚度均匀、色泽均一，涂层表面光洁，无流痕。喷涂防腐涂层前阀体、阀盖表面高压抛丸除锈达到Sa2.5级，将铸件加热后再进行静电喷涂卫生级环氧树脂粉末工艺，烘干固化后涂层厚度不小于250微米。阀门外防腐采用静电喷涂环氧树脂粉末工艺，阀门外观颜色为蓝色。阀板包胶前也进行防腐处理。粉末涂料采用国际知名品牌（阿克苏诺贝尔粉末涂料AKZONOBEL）。粉末涂料需满足卫生部《生活饮用水输配水设备及防护材料卫生安全评价规范（2001）》，GB/T5750-2006《卫生饮用水标准检测方法》的检测报告。</w:t>
            </w:r>
          </w:p>
          <w:p w14:paraId="237CEC3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p>
          <w:p w14:paraId="3355BD9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（三）材质要求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4302"/>
            </w:tblGrid>
            <w:tr w14:paraId="48DA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50EC041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主要零部件名称</w:t>
                  </w:r>
                </w:p>
              </w:tc>
              <w:tc>
                <w:tcPr>
                  <w:tcW w:w="4302" w:type="dxa"/>
                  <w:vAlign w:val="center"/>
                </w:tcPr>
                <w:p w14:paraId="73C2540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材质</w:t>
                  </w:r>
                </w:p>
              </w:tc>
            </w:tr>
            <w:tr w14:paraId="71D2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18" w:type="dxa"/>
                  <w:vAlign w:val="center"/>
                </w:tcPr>
                <w:p w14:paraId="1ACE2B66">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手轮</w:t>
                  </w:r>
                </w:p>
              </w:tc>
              <w:tc>
                <w:tcPr>
                  <w:tcW w:w="4302" w:type="dxa"/>
                  <w:vAlign w:val="center"/>
                </w:tcPr>
                <w:p w14:paraId="791BF993">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球墨铸铁QT450-16Q</w:t>
                  </w:r>
                </w:p>
              </w:tc>
            </w:tr>
            <w:tr w14:paraId="51AC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365B4A3D">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阀杆</w:t>
                  </w:r>
                </w:p>
              </w:tc>
              <w:tc>
                <w:tcPr>
                  <w:tcW w:w="4302" w:type="dxa"/>
                  <w:vAlign w:val="center"/>
                </w:tcPr>
                <w:p w14:paraId="71A93ED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不锈钢2Cr13</w:t>
                  </w:r>
                </w:p>
              </w:tc>
            </w:tr>
            <w:tr w14:paraId="4500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7304A77A">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Ｏ型橡胶圈</w:t>
                  </w:r>
                </w:p>
              </w:tc>
              <w:tc>
                <w:tcPr>
                  <w:tcW w:w="4302" w:type="dxa"/>
                  <w:vAlign w:val="center"/>
                </w:tcPr>
                <w:p w14:paraId="36A4AF6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三元乙丙橡胶EPDM</w:t>
                  </w:r>
                </w:p>
              </w:tc>
            </w:tr>
            <w:tr w14:paraId="3415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23C3B9B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止推轴承、阀杆螺母</w:t>
                  </w:r>
                </w:p>
              </w:tc>
              <w:tc>
                <w:tcPr>
                  <w:tcW w:w="4302" w:type="dxa"/>
                  <w:vAlign w:val="center"/>
                </w:tcPr>
                <w:p w14:paraId="1705C47C">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青铜</w:t>
                  </w:r>
                </w:p>
              </w:tc>
            </w:tr>
            <w:tr w14:paraId="7E14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7DA4A1E5">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橡胶阀板</w:t>
                  </w:r>
                </w:p>
              </w:tc>
              <w:tc>
                <w:tcPr>
                  <w:tcW w:w="4302" w:type="dxa"/>
                  <w:vAlign w:val="center"/>
                </w:tcPr>
                <w:p w14:paraId="5D703BA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球墨铸铁包覆三元乙丙橡胶EPDM</w:t>
                  </w:r>
                </w:p>
                <w:p w14:paraId="0F138C92">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QT450-16Q+EPDM</w:t>
                  </w:r>
                </w:p>
              </w:tc>
            </w:tr>
            <w:tr w14:paraId="3389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8" w:type="dxa"/>
                  <w:vAlign w:val="center"/>
                </w:tcPr>
                <w:p w14:paraId="4B24169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阀体、阀盖</w:t>
                  </w:r>
                </w:p>
              </w:tc>
              <w:tc>
                <w:tcPr>
                  <w:tcW w:w="4302" w:type="dxa"/>
                  <w:vAlign w:val="center"/>
                </w:tcPr>
                <w:p w14:paraId="6F26F924">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球墨铸铁QT450-16Q</w:t>
                  </w:r>
                </w:p>
              </w:tc>
            </w:tr>
          </w:tbl>
          <w:p w14:paraId="183FBD7E">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14:paraId="74879791">
      <w:pPr>
        <w:keepNext w:val="0"/>
        <w:keepLines w:val="0"/>
        <w:pageBreakBefore w:val="0"/>
        <w:widowControl w:val="0"/>
        <w:tabs>
          <w:tab w:val="left" w:pos="5325"/>
        </w:tabs>
        <w:kinsoku/>
        <w:wordWrap/>
        <w:overflowPunct/>
        <w:topLinePunct w:val="0"/>
        <w:autoSpaceDE/>
        <w:autoSpaceDN/>
        <w:bidi w:val="0"/>
        <w:adjustRightInd/>
        <w:snapToGrid w:val="0"/>
        <w:spacing w:line="440" w:lineRule="exact"/>
        <w:contextualSpacing/>
        <w:textAlignment w:val="auto"/>
        <w:rPr>
          <w:rFonts w:hint="eastAsia" w:ascii="宋体" w:hAnsi="宋体"/>
          <w:b/>
          <w:color w:val="000000"/>
          <w:sz w:val="28"/>
          <w:szCs w:val="28"/>
        </w:rPr>
      </w:pPr>
    </w:p>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270" w:right="1080" w:bottom="127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urceHanSansCN-Regular">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214EA0"/>
    <w:rsid w:val="03EC63FF"/>
    <w:rsid w:val="04167BE0"/>
    <w:rsid w:val="04FE1868"/>
    <w:rsid w:val="055210FB"/>
    <w:rsid w:val="060F014D"/>
    <w:rsid w:val="064F49ED"/>
    <w:rsid w:val="06C9698C"/>
    <w:rsid w:val="06DE411B"/>
    <w:rsid w:val="081F710D"/>
    <w:rsid w:val="08767CBA"/>
    <w:rsid w:val="08FF471C"/>
    <w:rsid w:val="09CE1802"/>
    <w:rsid w:val="0A432ABB"/>
    <w:rsid w:val="0ADA1283"/>
    <w:rsid w:val="0B79760A"/>
    <w:rsid w:val="0B837613"/>
    <w:rsid w:val="0C807FF6"/>
    <w:rsid w:val="0C922E30"/>
    <w:rsid w:val="0CC71BAC"/>
    <w:rsid w:val="0D18108F"/>
    <w:rsid w:val="0D2E723D"/>
    <w:rsid w:val="0D9A7247"/>
    <w:rsid w:val="0EE36B7D"/>
    <w:rsid w:val="0F0243F5"/>
    <w:rsid w:val="0F647E59"/>
    <w:rsid w:val="0F6618B1"/>
    <w:rsid w:val="10717803"/>
    <w:rsid w:val="108154AD"/>
    <w:rsid w:val="12B467E8"/>
    <w:rsid w:val="12EA747F"/>
    <w:rsid w:val="13121E77"/>
    <w:rsid w:val="13455F77"/>
    <w:rsid w:val="13960100"/>
    <w:rsid w:val="13F434BA"/>
    <w:rsid w:val="141D6DA0"/>
    <w:rsid w:val="14AA41AE"/>
    <w:rsid w:val="15B72A35"/>
    <w:rsid w:val="15C50828"/>
    <w:rsid w:val="17163249"/>
    <w:rsid w:val="175207E1"/>
    <w:rsid w:val="181E2472"/>
    <w:rsid w:val="183C6614"/>
    <w:rsid w:val="188C326C"/>
    <w:rsid w:val="199470D8"/>
    <w:rsid w:val="1A02204B"/>
    <w:rsid w:val="1A7B67AD"/>
    <w:rsid w:val="1A850712"/>
    <w:rsid w:val="1B932687"/>
    <w:rsid w:val="1BCA6B98"/>
    <w:rsid w:val="1C82447C"/>
    <w:rsid w:val="1CAC06B2"/>
    <w:rsid w:val="1E8B21FB"/>
    <w:rsid w:val="1F291E28"/>
    <w:rsid w:val="1F375139"/>
    <w:rsid w:val="21814159"/>
    <w:rsid w:val="21B700C7"/>
    <w:rsid w:val="21B7196D"/>
    <w:rsid w:val="221847B8"/>
    <w:rsid w:val="2262713B"/>
    <w:rsid w:val="228D26CE"/>
    <w:rsid w:val="22CA2753"/>
    <w:rsid w:val="240E2A35"/>
    <w:rsid w:val="24BA1822"/>
    <w:rsid w:val="251A293E"/>
    <w:rsid w:val="257C6C31"/>
    <w:rsid w:val="270B5BBD"/>
    <w:rsid w:val="27B57E67"/>
    <w:rsid w:val="28F3568B"/>
    <w:rsid w:val="2940272E"/>
    <w:rsid w:val="2B54029B"/>
    <w:rsid w:val="2BB63902"/>
    <w:rsid w:val="2CEF3FB8"/>
    <w:rsid w:val="2ED5212C"/>
    <w:rsid w:val="30552FD2"/>
    <w:rsid w:val="309803CF"/>
    <w:rsid w:val="30C90D87"/>
    <w:rsid w:val="30F33128"/>
    <w:rsid w:val="31B11C56"/>
    <w:rsid w:val="322A22B1"/>
    <w:rsid w:val="323C2F2A"/>
    <w:rsid w:val="330B10A4"/>
    <w:rsid w:val="33903B9A"/>
    <w:rsid w:val="359D2A5F"/>
    <w:rsid w:val="36F07953"/>
    <w:rsid w:val="3885236D"/>
    <w:rsid w:val="38854056"/>
    <w:rsid w:val="391E3890"/>
    <w:rsid w:val="39F4311D"/>
    <w:rsid w:val="3AF066C3"/>
    <w:rsid w:val="3BEA51F5"/>
    <w:rsid w:val="3C0733A8"/>
    <w:rsid w:val="3C6A6406"/>
    <w:rsid w:val="3D2C0ADF"/>
    <w:rsid w:val="3E1E176E"/>
    <w:rsid w:val="3E202F15"/>
    <w:rsid w:val="3E9078C4"/>
    <w:rsid w:val="3FD55619"/>
    <w:rsid w:val="404B6C28"/>
    <w:rsid w:val="414803DC"/>
    <w:rsid w:val="420951A2"/>
    <w:rsid w:val="424A7A77"/>
    <w:rsid w:val="42875CFB"/>
    <w:rsid w:val="42C92294"/>
    <w:rsid w:val="43132246"/>
    <w:rsid w:val="437812DF"/>
    <w:rsid w:val="44FF2A7A"/>
    <w:rsid w:val="45FA78C3"/>
    <w:rsid w:val="46024FFD"/>
    <w:rsid w:val="460927E6"/>
    <w:rsid w:val="46895EDE"/>
    <w:rsid w:val="47675677"/>
    <w:rsid w:val="48C83E12"/>
    <w:rsid w:val="48F53072"/>
    <w:rsid w:val="494621F7"/>
    <w:rsid w:val="4A577A02"/>
    <w:rsid w:val="4B0F33A3"/>
    <w:rsid w:val="4C504DA4"/>
    <w:rsid w:val="4C7F348C"/>
    <w:rsid w:val="4CA44F5B"/>
    <w:rsid w:val="4E7538BE"/>
    <w:rsid w:val="4F25246D"/>
    <w:rsid w:val="501D5DFE"/>
    <w:rsid w:val="50463D38"/>
    <w:rsid w:val="50EA7F43"/>
    <w:rsid w:val="50F06B23"/>
    <w:rsid w:val="513973A6"/>
    <w:rsid w:val="516A1310"/>
    <w:rsid w:val="51ED6A4B"/>
    <w:rsid w:val="52300D6A"/>
    <w:rsid w:val="52304CA0"/>
    <w:rsid w:val="54F36E09"/>
    <w:rsid w:val="558820D0"/>
    <w:rsid w:val="570A7A4A"/>
    <w:rsid w:val="57346FE0"/>
    <w:rsid w:val="57F331F2"/>
    <w:rsid w:val="57F83763"/>
    <w:rsid w:val="59DB49CF"/>
    <w:rsid w:val="5A3B2D3C"/>
    <w:rsid w:val="5A683FFF"/>
    <w:rsid w:val="5AA769EB"/>
    <w:rsid w:val="5AB36CA0"/>
    <w:rsid w:val="5B546ADF"/>
    <w:rsid w:val="5C436904"/>
    <w:rsid w:val="5C664E8E"/>
    <w:rsid w:val="5DBF29C4"/>
    <w:rsid w:val="5DCD3CEB"/>
    <w:rsid w:val="5DF00521"/>
    <w:rsid w:val="5E2027FE"/>
    <w:rsid w:val="5E3E0145"/>
    <w:rsid w:val="5F5E0F4F"/>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701F75C9"/>
    <w:rsid w:val="703F45D4"/>
    <w:rsid w:val="708F5A33"/>
    <w:rsid w:val="71072C9F"/>
    <w:rsid w:val="724D47CD"/>
    <w:rsid w:val="736E263D"/>
    <w:rsid w:val="73F3271F"/>
    <w:rsid w:val="7527528D"/>
    <w:rsid w:val="755726DD"/>
    <w:rsid w:val="755D5634"/>
    <w:rsid w:val="757C6160"/>
    <w:rsid w:val="7638442C"/>
    <w:rsid w:val="77A450BA"/>
    <w:rsid w:val="781F4CEB"/>
    <w:rsid w:val="78937BBC"/>
    <w:rsid w:val="79852FF6"/>
    <w:rsid w:val="7ACC2155"/>
    <w:rsid w:val="7AF5271A"/>
    <w:rsid w:val="7C156B31"/>
    <w:rsid w:val="7C5E095D"/>
    <w:rsid w:val="7C966762"/>
    <w:rsid w:val="7CB80EEC"/>
    <w:rsid w:val="7D105E6B"/>
    <w:rsid w:val="7D1C36F2"/>
    <w:rsid w:val="7D7004C3"/>
    <w:rsid w:val="7DB32A41"/>
    <w:rsid w:val="7DD66E82"/>
    <w:rsid w:val="7F012DE2"/>
    <w:rsid w:val="7F0B578D"/>
    <w:rsid w:val="7F131561"/>
    <w:rsid w:val="7F84561D"/>
    <w:rsid w:val="7FA3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4366</Words>
  <Characters>4804</Characters>
  <Lines>39</Lines>
  <Paragraphs>10</Paragraphs>
  <TotalTime>3</TotalTime>
  <ScaleCrop>false</ScaleCrop>
  <LinksUpToDate>false</LinksUpToDate>
  <CharactersWithSpaces>4920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2025-05-06T01:45:00Z</cp:lastPrinted>
  <dcterms:modified xsi:type="dcterms:W3CDTF">2025-05-06T02:56:15Z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A989800315F144C58DF0EC8A37D80FE9_13</vt:lpwstr>
  </property>
  <property fmtid="{D5CDD505-2E9C-101B-9397-08002B2CF9AE}" pid="4" name="KSOTemplateDocerSaveRecord">
    <vt:lpwstr>eyJoZGlkIjoiNzFhZjk3MWU2ODZjMTU1ZDU0MWFlZmQyMTYwNjE5ZjIiLCJ1c2VySWQiOiIyMzk3ODg1OTIifQ==</vt:lpwstr>
  </property>
</Properties>
</file>